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5A26" w14:textId="0FE67FFA" w:rsidR="003376F1" w:rsidRDefault="2FCF57A7" w:rsidP="7B209F1D">
      <w:pPr>
        <w:pStyle w:val="ListParagraph"/>
      </w:pPr>
      <w:r>
        <w:t xml:space="preserve"> </w:t>
      </w:r>
    </w:p>
    <w:p w14:paraId="753DDAF0" w14:textId="77777777" w:rsidR="00184F89" w:rsidRDefault="00184F89" w:rsidP="7B209F1D">
      <w:pPr>
        <w:pStyle w:val="ListParagraph"/>
      </w:pPr>
    </w:p>
    <w:p w14:paraId="1C120A19" w14:textId="77777777" w:rsidR="00184F89" w:rsidRDefault="00184F89" w:rsidP="7B209F1D">
      <w:pPr>
        <w:pStyle w:val="ListParagraph"/>
      </w:pPr>
    </w:p>
    <w:p w14:paraId="2F09E87A" w14:textId="77777777" w:rsidR="00184F89" w:rsidRPr="003376F1" w:rsidRDefault="00184F89" w:rsidP="7B209F1D">
      <w:pPr>
        <w:pStyle w:val="ListParagraph"/>
      </w:pPr>
    </w:p>
    <w:p w14:paraId="6DE27F40" w14:textId="77777777" w:rsidR="00D7232B" w:rsidRDefault="00D7232B" w:rsidP="7B209F1D">
      <w:pPr>
        <w:rPr>
          <w:b/>
          <w:bCs/>
        </w:rPr>
      </w:pPr>
    </w:p>
    <w:p w14:paraId="404985CB" w14:textId="77777777" w:rsidR="0032188C" w:rsidRDefault="0032188C" w:rsidP="7B209F1D">
      <w:pPr>
        <w:rPr>
          <w:b/>
          <w:bCs/>
        </w:rPr>
      </w:pPr>
    </w:p>
    <w:p w14:paraId="63067E86" w14:textId="77777777" w:rsidR="0032188C" w:rsidRDefault="0032188C" w:rsidP="7B209F1D">
      <w:pPr>
        <w:rPr>
          <w:b/>
          <w:bCs/>
        </w:rPr>
      </w:pPr>
    </w:p>
    <w:p w14:paraId="05E89775" w14:textId="77777777" w:rsidR="00B55BA7" w:rsidRDefault="00B55BA7" w:rsidP="7B209F1D">
      <w:pPr>
        <w:rPr>
          <w:b/>
          <w:bCs/>
        </w:rPr>
      </w:pPr>
    </w:p>
    <w:p w14:paraId="78F1EB5B" w14:textId="77777777" w:rsidR="00B55BA7" w:rsidRDefault="00B55BA7" w:rsidP="7B209F1D">
      <w:pPr>
        <w:rPr>
          <w:b/>
          <w:bCs/>
        </w:rPr>
      </w:pPr>
    </w:p>
    <w:p w14:paraId="4E5AEB05" w14:textId="77777777" w:rsidR="00B55BA7" w:rsidRDefault="00B55BA7" w:rsidP="7B209F1D">
      <w:pPr>
        <w:rPr>
          <w:b/>
          <w:bCs/>
        </w:rPr>
      </w:pPr>
    </w:p>
    <w:p w14:paraId="6CDF2003" w14:textId="1E5D2DB0" w:rsidR="00B55BA7" w:rsidRDefault="39577DD9" w:rsidP="7B209F1D">
      <w:pPr>
        <w:jc w:val="center"/>
        <w:rPr>
          <w:b/>
          <w:bCs/>
          <w:sz w:val="56"/>
          <w:szCs w:val="56"/>
        </w:rPr>
      </w:pPr>
      <w:r w:rsidRPr="379D6A18">
        <w:rPr>
          <w:b/>
          <w:bCs/>
          <w:sz w:val="56"/>
          <w:szCs w:val="56"/>
        </w:rPr>
        <w:t>CITIZEN AND COMMUNITY ENGAGEMENT POLICY</w:t>
      </w:r>
    </w:p>
    <w:p w14:paraId="0EBCD9C5" w14:textId="77777777" w:rsidR="00184F89" w:rsidRDefault="00184F89" w:rsidP="7B209F1D">
      <w:pPr>
        <w:jc w:val="center"/>
        <w:rPr>
          <w:b/>
          <w:bCs/>
          <w:sz w:val="56"/>
          <w:szCs w:val="56"/>
        </w:rPr>
      </w:pPr>
    </w:p>
    <w:p w14:paraId="2572F55B" w14:textId="2A65E882" w:rsidR="00184F89" w:rsidRPr="00184F89" w:rsidRDefault="00184F89" w:rsidP="7B209F1D">
      <w:pPr>
        <w:jc w:val="center"/>
        <w:rPr>
          <w:sz w:val="40"/>
          <w:szCs w:val="40"/>
        </w:rPr>
      </w:pPr>
      <w:r w:rsidRPr="7B209F1D">
        <w:rPr>
          <w:sz w:val="40"/>
          <w:szCs w:val="40"/>
        </w:rPr>
        <w:t>OXFORD CITY COUNCIL</w:t>
      </w:r>
    </w:p>
    <w:p w14:paraId="0244C85C" w14:textId="77777777" w:rsidR="00B55BA7" w:rsidRDefault="00B55BA7" w:rsidP="7B209F1D">
      <w:pPr>
        <w:rPr>
          <w:b/>
          <w:bCs/>
        </w:rPr>
      </w:pPr>
    </w:p>
    <w:p w14:paraId="2C4F212B" w14:textId="77777777" w:rsidR="00B55BA7" w:rsidRDefault="00B55BA7" w:rsidP="7B209F1D">
      <w:pPr>
        <w:rPr>
          <w:b/>
          <w:bCs/>
        </w:rPr>
      </w:pPr>
    </w:p>
    <w:p w14:paraId="1E991864" w14:textId="77777777" w:rsidR="00B55BA7" w:rsidRDefault="00B55BA7" w:rsidP="7B209F1D">
      <w:pPr>
        <w:rPr>
          <w:b/>
          <w:bCs/>
        </w:rPr>
      </w:pPr>
    </w:p>
    <w:p w14:paraId="799ABE9A" w14:textId="77777777" w:rsidR="00B55BA7" w:rsidRDefault="00B55BA7" w:rsidP="7B209F1D">
      <w:pPr>
        <w:rPr>
          <w:b/>
          <w:bCs/>
        </w:rPr>
      </w:pPr>
    </w:p>
    <w:p w14:paraId="75159F41" w14:textId="77777777" w:rsidR="00B55BA7" w:rsidRDefault="00B55BA7" w:rsidP="7B209F1D">
      <w:pPr>
        <w:rPr>
          <w:b/>
          <w:bCs/>
        </w:rPr>
      </w:pPr>
    </w:p>
    <w:p w14:paraId="57D1125F" w14:textId="77777777" w:rsidR="00B55BA7" w:rsidRDefault="00B55BA7" w:rsidP="7B209F1D">
      <w:pPr>
        <w:rPr>
          <w:b/>
          <w:bCs/>
        </w:rPr>
      </w:pPr>
    </w:p>
    <w:p w14:paraId="35B78215" w14:textId="77777777" w:rsidR="00B55BA7" w:rsidRDefault="00B55BA7" w:rsidP="7B209F1D">
      <w:pPr>
        <w:rPr>
          <w:b/>
          <w:bCs/>
        </w:rPr>
      </w:pPr>
    </w:p>
    <w:p w14:paraId="0F035497" w14:textId="77777777" w:rsidR="00B55BA7" w:rsidRDefault="00B55BA7" w:rsidP="7B209F1D">
      <w:pPr>
        <w:rPr>
          <w:b/>
          <w:bCs/>
        </w:rPr>
      </w:pPr>
    </w:p>
    <w:p w14:paraId="042DD543" w14:textId="77777777" w:rsidR="001A4D95" w:rsidRDefault="001A4D95" w:rsidP="7B209F1D">
      <w:pPr>
        <w:rPr>
          <w:b/>
          <w:bCs/>
        </w:rPr>
      </w:pPr>
    </w:p>
    <w:p w14:paraId="6E2CA9D9" w14:textId="77777777" w:rsidR="007D3DFA" w:rsidRDefault="007D3DFA" w:rsidP="7B209F1D">
      <w:pPr>
        <w:rPr>
          <w:b/>
          <w:bCs/>
        </w:rPr>
      </w:pPr>
    </w:p>
    <w:tbl>
      <w:tblPr>
        <w:tblStyle w:val="TableGrid"/>
        <w:tblW w:w="0" w:type="auto"/>
        <w:tblLook w:val="04A0" w:firstRow="1" w:lastRow="0" w:firstColumn="1" w:lastColumn="0" w:noHBand="0" w:noVBand="1"/>
      </w:tblPr>
      <w:tblGrid>
        <w:gridCol w:w="9016"/>
      </w:tblGrid>
      <w:tr w:rsidR="001A4D95" w14:paraId="392464D3" w14:textId="77777777" w:rsidTr="61C78D60">
        <w:tc>
          <w:tcPr>
            <w:tcW w:w="9016" w:type="dxa"/>
          </w:tcPr>
          <w:p w14:paraId="1C56925A" w14:textId="77777777" w:rsidR="001A4D95" w:rsidRDefault="001A4D95" w:rsidP="7B209F1D">
            <w:pPr>
              <w:rPr>
                <w:b/>
                <w:bCs/>
                <w:u w:val="single"/>
              </w:rPr>
            </w:pPr>
          </w:p>
          <w:p w14:paraId="697DCB2E" w14:textId="3F46DB44" w:rsidR="001A4D95" w:rsidRPr="00184F89" w:rsidRDefault="0FB154C9" w:rsidP="7B209F1D">
            <w:pPr>
              <w:rPr>
                <w:b/>
                <w:bCs/>
                <w:u w:val="single"/>
              </w:rPr>
            </w:pPr>
            <w:r w:rsidRPr="7B209F1D">
              <w:rPr>
                <w:b/>
                <w:bCs/>
                <w:u w:val="single"/>
              </w:rPr>
              <w:t>DOCUMENT CONTROL:</w:t>
            </w:r>
          </w:p>
          <w:p w14:paraId="19E882A6" w14:textId="77777777" w:rsidR="001A4D95" w:rsidRDefault="001A4D95" w:rsidP="7B209F1D">
            <w:pPr>
              <w:rPr>
                <w:b/>
                <w:bCs/>
              </w:rPr>
            </w:pPr>
          </w:p>
          <w:tbl>
            <w:tblPr>
              <w:tblStyle w:val="TableGrid"/>
              <w:tblW w:w="8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5815"/>
            </w:tblGrid>
            <w:tr w:rsidR="001A4D95" w14:paraId="714A2524" w14:textId="77777777" w:rsidTr="61C78D60">
              <w:tc>
                <w:tcPr>
                  <w:tcW w:w="2985" w:type="dxa"/>
                </w:tcPr>
                <w:p w14:paraId="07E8D31B" w14:textId="77777777" w:rsidR="001A4D95" w:rsidRDefault="219E18F8" w:rsidP="7B209F1D">
                  <w:pPr>
                    <w:rPr>
                      <w:b/>
                      <w:bCs/>
                    </w:rPr>
                  </w:pPr>
                  <w:r w:rsidRPr="49F13B93">
                    <w:rPr>
                      <w:b/>
                      <w:bCs/>
                    </w:rPr>
                    <w:t>TITLE:</w:t>
                  </w:r>
                  <w:r w:rsidR="0FB154C9">
                    <w:tab/>
                  </w:r>
                  <w:r w:rsidR="0FB154C9">
                    <w:tab/>
                  </w:r>
                </w:p>
              </w:tc>
              <w:tc>
                <w:tcPr>
                  <w:tcW w:w="5815" w:type="dxa"/>
                </w:tcPr>
                <w:p w14:paraId="09F75A26" w14:textId="073063E2" w:rsidR="001A4D95" w:rsidRPr="0016208A" w:rsidRDefault="0FB154C9" w:rsidP="7B209F1D">
                  <w:r w:rsidRPr="7B209F1D">
                    <w:t>Citizen and Community Engagement Policy</w:t>
                  </w:r>
                </w:p>
              </w:tc>
            </w:tr>
            <w:tr w:rsidR="001A4D95" w14:paraId="6150C563" w14:textId="77777777" w:rsidTr="61C78D60">
              <w:tc>
                <w:tcPr>
                  <w:tcW w:w="2985" w:type="dxa"/>
                </w:tcPr>
                <w:p w14:paraId="447FBEE7" w14:textId="77777777" w:rsidR="001A4D95" w:rsidRDefault="0FB154C9" w:rsidP="7B209F1D">
                  <w:pPr>
                    <w:rPr>
                      <w:b/>
                      <w:bCs/>
                    </w:rPr>
                  </w:pPr>
                  <w:r w:rsidRPr="7B209F1D">
                    <w:rPr>
                      <w:b/>
                      <w:bCs/>
                    </w:rPr>
                    <w:t>DATE:</w:t>
                  </w:r>
                </w:p>
              </w:tc>
              <w:tc>
                <w:tcPr>
                  <w:tcW w:w="5815" w:type="dxa"/>
                </w:tcPr>
                <w:p w14:paraId="73CB8240" w14:textId="2FEC26F9" w:rsidR="001A4D95" w:rsidRPr="0005298F" w:rsidRDefault="0005298F" w:rsidP="7B209F1D">
                  <w:pPr>
                    <w:rPr>
                      <w:i/>
                      <w:iCs/>
                    </w:rPr>
                  </w:pPr>
                  <w:r w:rsidRPr="0005298F">
                    <w:rPr>
                      <w:i/>
                      <w:iCs/>
                    </w:rPr>
                    <w:t>TBC</w:t>
                  </w:r>
                </w:p>
              </w:tc>
            </w:tr>
            <w:tr w:rsidR="001A4D95" w14:paraId="3C8E5627" w14:textId="77777777" w:rsidTr="61C78D60">
              <w:tc>
                <w:tcPr>
                  <w:tcW w:w="2985" w:type="dxa"/>
                </w:tcPr>
                <w:p w14:paraId="72B155C8" w14:textId="77777777" w:rsidR="001A4D95" w:rsidRDefault="0FB154C9" w:rsidP="7B209F1D">
                  <w:pPr>
                    <w:rPr>
                      <w:b/>
                      <w:bCs/>
                    </w:rPr>
                  </w:pPr>
                  <w:r w:rsidRPr="7B209F1D">
                    <w:rPr>
                      <w:b/>
                      <w:bCs/>
                    </w:rPr>
                    <w:t>REVIEW DATE:</w:t>
                  </w:r>
                </w:p>
              </w:tc>
              <w:tc>
                <w:tcPr>
                  <w:tcW w:w="5815" w:type="dxa"/>
                </w:tcPr>
                <w:p w14:paraId="1834CC4D" w14:textId="0AA686DF" w:rsidR="001A4D95" w:rsidRPr="0016208A" w:rsidRDefault="0FB154C9" w:rsidP="7B209F1D">
                  <w:pPr>
                    <w:rPr>
                      <w:i/>
                      <w:iCs/>
                    </w:rPr>
                  </w:pPr>
                  <w:r w:rsidRPr="7B209F1D">
                    <w:rPr>
                      <w:i/>
                      <w:iCs/>
                    </w:rPr>
                    <w:t>TBC</w:t>
                  </w:r>
                  <w:r w:rsidR="00510F21" w:rsidRPr="7B209F1D">
                    <w:rPr>
                      <w:i/>
                      <w:iCs/>
                    </w:rPr>
                    <w:t xml:space="preserve"> </w:t>
                  </w:r>
                </w:p>
              </w:tc>
            </w:tr>
            <w:tr w:rsidR="001A4D95" w14:paraId="478209ED" w14:textId="77777777" w:rsidTr="61C78D60">
              <w:tc>
                <w:tcPr>
                  <w:tcW w:w="2985" w:type="dxa"/>
                </w:tcPr>
                <w:p w14:paraId="3B8BE824" w14:textId="77777777" w:rsidR="001A4D95" w:rsidRPr="00FE1DD2" w:rsidRDefault="0FB154C9" w:rsidP="7B209F1D">
                  <w:pPr>
                    <w:rPr>
                      <w:b/>
                      <w:bCs/>
                    </w:rPr>
                  </w:pPr>
                  <w:r w:rsidRPr="7B209F1D">
                    <w:rPr>
                      <w:b/>
                      <w:bCs/>
                    </w:rPr>
                    <w:t>CABINET PORTFOLIO:</w:t>
                  </w:r>
                </w:p>
              </w:tc>
              <w:tc>
                <w:tcPr>
                  <w:tcW w:w="5815" w:type="dxa"/>
                </w:tcPr>
                <w:p w14:paraId="01557BFB" w14:textId="23C4AD47" w:rsidR="001A4D95" w:rsidRDefault="175EDD7B" w:rsidP="7B209F1D">
                  <w:r>
                    <w:t>Citizen Focused Services and Council Companies</w:t>
                  </w:r>
                </w:p>
              </w:tc>
            </w:tr>
            <w:tr w:rsidR="001A4D95" w14:paraId="354CF9E5" w14:textId="77777777" w:rsidTr="61C78D60">
              <w:tc>
                <w:tcPr>
                  <w:tcW w:w="2985" w:type="dxa"/>
                </w:tcPr>
                <w:p w14:paraId="62C39659" w14:textId="77777777" w:rsidR="001A4D95" w:rsidRDefault="0FB154C9" w:rsidP="7B209F1D">
                  <w:pPr>
                    <w:rPr>
                      <w:b/>
                      <w:bCs/>
                    </w:rPr>
                  </w:pPr>
                  <w:r w:rsidRPr="7B209F1D">
                    <w:rPr>
                      <w:b/>
                      <w:bCs/>
                    </w:rPr>
                    <w:t xml:space="preserve">SENIOR OFFICER: </w:t>
                  </w:r>
                </w:p>
              </w:tc>
              <w:tc>
                <w:tcPr>
                  <w:tcW w:w="5815" w:type="dxa"/>
                </w:tcPr>
                <w:p w14:paraId="046BC40E" w14:textId="20441FCF" w:rsidR="001A4D95" w:rsidRPr="00D837D9" w:rsidRDefault="02EB3153" w:rsidP="7B209F1D">
                  <w:r>
                    <w:t>Helen Bishop</w:t>
                  </w:r>
                  <w:r w:rsidR="39A03135">
                    <w:t xml:space="preserve">, </w:t>
                  </w:r>
                  <w:r w:rsidR="34B19995">
                    <w:t>Director of Communities and Citizens</w:t>
                  </w:r>
                </w:p>
              </w:tc>
            </w:tr>
            <w:tr w:rsidR="001A4D95" w14:paraId="2B80D47F" w14:textId="77777777" w:rsidTr="61C78D60">
              <w:tc>
                <w:tcPr>
                  <w:tcW w:w="2985" w:type="dxa"/>
                </w:tcPr>
                <w:p w14:paraId="651B917E" w14:textId="77777777" w:rsidR="001A4D95" w:rsidRDefault="0FB154C9" w:rsidP="7B209F1D">
                  <w:pPr>
                    <w:rPr>
                      <w:b/>
                      <w:bCs/>
                    </w:rPr>
                  </w:pPr>
                  <w:r w:rsidRPr="7B209F1D">
                    <w:rPr>
                      <w:b/>
                      <w:bCs/>
                    </w:rPr>
                    <w:t>AUTHOR(S):</w:t>
                  </w:r>
                </w:p>
              </w:tc>
              <w:tc>
                <w:tcPr>
                  <w:tcW w:w="5815" w:type="dxa"/>
                </w:tcPr>
                <w:p w14:paraId="6DA97DAA" w14:textId="557861F5" w:rsidR="001A4D95" w:rsidRDefault="1E47176F" w:rsidP="7B209F1D">
                  <w:r>
                    <w:t>Sally Hicks, Business Intelligence Lead</w:t>
                  </w:r>
                </w:p>
                <w:p w14:paraId="2E77E7FE" w14:textId="12CD0F8E" w:rsidR="001A4D95" w:rsidRDefault="29EE5C51" w:rsidP="7B209F1D">
                  <w:r>
                    <w:t>Jiajia Miao</w:t>
                  </w:r>
                  <w:r w:rsidR="4D5F7880">
                    <w:t>, Corporate Consultation Officer</w:t>
                  </w:r>
                </w:p>
                <w:p w14:paraId="1A46DC5E" w14:textId="77777777" w:rsidR="001A4D95" w:rsidRDefault="001A4D95" w:rsidP="7B209F1D"/>
              </w:tc>
            </w:tr>
          </w:tbl>
          <w:p w14:paraId="4C717F10" w14:textId="77777777" w:rsidR="001A4D95" w:rsidRDefault="001A4D95" w:rsidP="7B209F1D">
            <w:pPr>
              <w:rPr>
                <w:b/>
                <w:bCs/>
              </w:rPr>
            </w:pPr>
          </w:p>
        </w:tc>
      </w:tr>
    </w:tbl>
    <w:sdt>
      <w:sdtPr>
        <w:rPr>
          <w:rFonts w:ascii="Arial" w:eastAsiaTheme="minorEastAsia" w:hAnsi="Arial" w:cs="Arial"/>
          <w:color w:val="auto"/>
          <w:sz w:val="24"/>
          <w:szCs w:val="24"/>
          <w:lang w:eastAsia="en-US"/>
        </w:rPr>
        <w:id w:val="1364600245"/>
        <w:docPartObj>
          <w:docPartGallery w:val="Table of Contents"/>
          <w:docPartUnique/>
        </w:docPartObj>
      </w:sdtPr>
      <w:sdtEndPr/>
      <w:sdtContent>
        <w:p w14:paraId="654D71DE" w14:textId="3D4D4875" w:rsidR="00F82F26" w:rsidRDefault="00F82F26" w:rsidP="215E46FE">
          <w:pPr>
            <w:pStyle w:val="TOCHeading"/>
            <w:rPr>
              <w:rFonts w:ascii="Arial" w:eastAsiaTheme="minorEastAsia" w:hAnsi="Arial" w:cs="Arial"/>
              <w:color w:val="auto"/>
              <w:sz w:val="24"/>
              <w:szCs w:val="24"/>
              <w:lang w:eastAsia="en-US"/>
            </w:rPr>
          </w:pPr>
        </w:p>
        <w:p w14:paraId="2AB80B36" w14:textId="418D5046" w:rsidR="000B6975" w:rsidRPr="006E04BD" w:rsidRDefault="7FAB89B6">
          <w:pPr>
            <w:pStyle w:val="TOCHeading"/>
            <w:rPr>
              <w:rFonts w:ascii="Arial" w:hAnsi="Arial" w:cs="Arial"/>
              <w:b/>
              <w:bCs/>
              <w:color w:val="auto"/>
              <w:sz w:val="56"/>
              <w:szCs w:val="56"/>
            </w:rPr>
          </w:pPr>
          <w:r w:rsidRPr="5861C0E6">
            <w:rPr>
              <w:rFonts w:ascii="Arial" w:hAnsi="Arial" w:cs="Arial"/>
              <w:b/>
              <w:bCs/>
              <w:color w:val="auto"/>
              <w:sz w:val="56"/>
              <w:szCs w:val="56"/>
            </w:rPr>
            <w:t>CONTENTS</w:t>
          </w:r>
        </w:p>
        <w:p w14:paraId="6FF69F0E" w14:textId="77777777" w:rsidR="006E04BD" w:rsidRDefault="006E04BD" w:rsidP="7B209F1D">
          <w:pPr>
            <w:pStyle w:val="TOC1"/>
            <w:tabs>
              <w:tab w:val="right" w:leader="dot" w:pos="9016"/>
            </w:tabs>
          </w:pPr>
        </w:p>
        <w:p w14:paraId="6C1A625F" w14:textId="61051FC2" w:rsidR="00F82F26" w:rsidRDefault="00F82F26" w:rsidP="5861C0E6">
          <w:pPr>
            <w:pStyle w:val="TOC1"/>
            <w:tabs>
              <w:tab w:val="right" w:leader="dot" w:pos="9015"/>
            </w:tabs>
            <w:rPr>
              <w:rStyle w:val="Hyperlink"/>
              <w:noProof/>
              <w:kern w:val="2"/>
              <w:lang w:eastAsia="zh-CN"/>
              <w14:ligatures w14:val="standardContextual"/>
            </w:rPr>
          </w:pPr>
          <w:r>
            <w:fldChar w:fldCharType="begin"/>
          </w:r>
          <w:r w:rsidR="001426D2">
            <w:instrText>TOC \o "1-3" \z \u \h</w:instrText>
          </w:r>
          <w:r>
            <w:fldChar w:fldCharType="separate"/>
          </w:r>
          <w:hyperlink w:anchor="_Toc2061843720">
            <w:r w:rsidR="5861C0E6" w:rsidRPr="5861C0E6">
              <w:rPr>
                <w:rStyle w:val="Hyperlink"/>
              </w:rPr>
              <w:t>PURPOSE</w:t>
            </w:r>
            <w:r w:rsidR="001426D2">
              <w:tab/>
            </w:r>
            <w:r w:rsidR="001426D2">
              <w:fldChar w:fldCharType="begin"/>
            </w:r>
            <w:r w:rsidR="001426D2">
              <w:instrText>PAGEREF _Toc2061843720 \h</w:instrText>
            </w:r>
            <w:r w:rsidR="001426D2">
              <w:fldChar w:fldCharType="separate"/>
            </w:r>
            <w:r w:rsidR="5861C0E6" w:rsidRPr="5861C0E6">
              <w:rPr>
                <w:rStyle w:val="Hyperlink"/>
              </w:rPr>
              <w:t>2</w:t>
            </w:r>
            <w:r w:rsidR="001426D2">
              <w:fldChar w:fldCharType="end"/>
            </w:r>
          </w:hyperlink>
        </w:p>
        <w:p w14:paraId="4B3CC16F" w14:textId="3288BA52" w:rsidR="00F82F26" w:rsidRDefault="5861C0E6" w:rsidP="5861C0E6">
          <w:pPr>
            <w:pStyle w:val="TOC1"/>
            <w:tabs>
              <w:tab w:val="right" w:leader="dot" w:pos="9015"/>
            </w:tabs>
            <w:rPr>
              <w:rStyle w:val="Hyperlink"/>
              <w:noProof/>
              <w:kern w:val="2"/>
              <w:lang w:eastAsia="zh-CN"/>
              <w14:ligatures w14:val="standardContextual"/>
            </w:rPr>
          </w:pPr>
          <w:hyperlink w:anchor="_Toc1134555897">
            <w:r w:rsidRPr="5861C0E6">
              <w:rPr>
                <w:rStyle w:val="Hyperlink"/>
              </w:rPr>
              <w:t>POLICY CONTEXT</w:t>
            </w:r>
            <w:r w:rsidR="00F82F26">
              <w:tab/>
            </w:r>
            <w:r w:rsidR="00F82F26">
              <w:fldChar w:fldCharType="begin"/>
            </w:r>
            <w:r w:rsidR="00F82F26">
              <w:instrText>PAGEREF _Toc1134555897 \h</w:instrText>
            </w:r>
            <w:r w:rsidR="00F82F26">
              <w:fldChar w:fldCharType="separate"/>
            </w:r>
            <w:r w:rsidRPr="5861C0E6">
              <w:rPr>
                <w:rStyle w:val="Hyperlink"/>
              </w:rPr>
              <w:t>3</w:t>
            </w:r>
            <w:r w:rsidR="00F82F26">
              <w:fldChar w:fldCharType="end"/>
            </w:r>
          </w:hyperlink>
        </w:p>
        <w:p w14:paraId="74D5A0F4" w14:textId="6BD79603" w:rsidR="00F82F26" w:rsidRDefault="5861C0E6" w:rsidP="5861C0E6">
          <w:pPr>
            <w:pStyle w:val="TOC1"/>
            <w:tabs>
              <w:tab w:val="right" w:leader="dot" w:pos="9015"/>
            </w:tabs>
            <w:rPr>
              <w:rStyle w:val="Hyperlink"/>
              <w:noProof/>
              <w:kern w:val="2"/>
              <w:lang w:eastAsia="zh-CN"/>
              <w14:ligatures w14:val="standardContextual"/>
            </w:rPr>
          </w:pPr>
          <w:hyperlink w:anchor="_Toc1215415837">
            <w:r w:rsidRPr="5861C0E6">
              <w:rPr>
                <w:rStyle w:val="Hyperlink"/>
              </w:rPr>
              <w:t>KEY DEFINITIONS</w:t>
            </w:r>
            <w:r w:rsidR="00F82F26">
              <w:tab/>
            </w:r>
            <w:r w:rsidR="00F82F26">
              <w:fldChar w:fldCharType="begin"/>
            </w:r>
            <w:r w:rsidR="00F82F26">
              <w:instrText>PAGEREF _Toc1215415837 \h</w:instrText>
            </w:r>
            <w:r w:rsidR="00F82F26">
              <w:fldChar w:fldCharType="separate"/>
            </w:r>
            <w:r w:rsidRPr="5861C0E6">
              <w:rPr>
                <w:rStyle w:val="Hyperlink"/>
              </w:rPr>
              <w:t>4</w:t>
            </w:r>
            <w:r w:rsidR="00F82F26">
              <w:fldChar w:fldCharType="end"/>
            </w:r>
          </w:hyperlink>
        </w:p>
        <w:p w14:paraId="428CA47B" w14:textId="25305AE5" w:rsidR="00F82F26" w:rsidRDefault="5861C0E6" w:rsidP="5861C0E6">
          <w:pPr>
            <w:pStyle w:val="TOC1"/>
            <w:tabs>
              <w:tab w:val="right" w:leader="dot" w:pos="9015"/>
            </w:tabs>
            <w:rPr>
              <w:rStyle w:val="Hyperlink"/>
              <w:noProof/>
              <w:kern w:val="2"/>
              <w:lang w:eastAsia="zh-CN"/>
              <w14:ligatures w14:val="standardContextual"/>
            </w:rPr>
          </w:pPr>
          <w:hyperlink w:anchor="_Toc974605613">
            <w:r w:rsidRPr="5861C0E6">
              <w:rPr>
                <w:rStyle w:val="Hyperlink"/>
              </w:rPr>
              <w:t>INTRODUCTION</w:t>
            </w:r>
            <w:r w:rsidR="00F82F26">
              <w:tab/>
            </w:r>
            <w:r w:rsidR="00F82F26">
              <w:fldChar w:fldCharType="begin"/>
            </w:r>
            <w:r w:rsidR="00F82F26">
              <w:instrText>PAGEREF _Toc974605613 \h</w:instrText>
            </w:r>
            <w:r w:rsidR="00F82F26">
              <w:fldChar w:fldCharType="separate"/>
            </w:r>
            <w:r w:rsidRPr="5861C0E6">
              <w:rPr>
                <w:rStyle w:val="Hyperlink"/>
              </w:rPr>
              <w:t>4</w:t>
            </w:r>
            <w:r w:rsidR="00F82F26">
              <w:fldChar w:fldCharType="end"/>
            </w:r>
          </w:hyperlink>
        </w:p>
        <w:p w14:paraId="288ED5A2" w14:textId="6AF43756" w:rsidR="00F82F26" w:rsidRDefault="5861C0E6" w:rsidP="5861C0E6">
          <w:pPr>
            <w:pStyle w:val="TOC1"/>
            <w:tabs>
              <w:tab w:val="right" w:leader="dot" w:pos="9015"/>
            </w:tabs>
            <w:rPr>
              <w:rStyle w:val="Hyperlink"/>
              <w:noProof/>
              <w:kern w:val="2"/>
              <w:lang w:eastAsia="zh-CN"/>
              <w14:ligatures w14:val="standardContextual"/>
            </w:rPr>
          </w:pPr>
          <w:hyperlink w:anchor="_Toc1960629387">
            <w:r w:rsidRPr="5861C0E6">
              <w:rPr>
                <w:rStyle w:val="Hyperlink"/>
              </w:rPr>
              <w:t>BACKGROUND &amp; OXFORD CONTEXT</w:t>
            </w:r>
            <w:r w:rsidR="00F82F26">
              <w:tab/>
            </w:r>
            <w:r w:rsidR="00F82F26">
              <w:fldChar w:fldCharType="begin"/>
            </w:r>
            <w:r w:rsidR="00F82F26">
              <w:instrText>PAGEREF _Toc1960629387 \h</w:instrText>
            </w:r>
            <w:r w:rsidR="00F82F26">
              <w:fldChar w:fldCharType="separate"/>
            </w:r>
            <w:r w:rsidRPr="5861C0E6">
              <w:rPr>
                <w:rStyle w:val="Hyperlink"/>
              </w:rPr>
              <w:t>5</w:t>
            </w:r>
            <w:r w:rsidR="00F82F26">
              <w:fldChar w:fldCharType="end"/>
            </w:r>
          </w:hyperlink>
        </w:p>
        <w:p w14:paraId="0AA65E41" w14:textId="0747D42D" w:rsidR="00F82F26" w:rsidRDefault="5861C0E6" w:rsidP="5861C0E6">
          <w:pPr>
            <w:pStyle w:val="TOC1"/>
            <w:tabs>
              <w:tab w:val="right" w:leader="dot" w:pos="9015"/>
            </w:tabs>
            <w:rPr>
              <w:rStyle w:val="Hyperlink"/>
              <w:noProof/>
              <w:kern w:val="2"/>
              <w:lang w:eastAsia="zh-CN"/>
              <w14:ligatures w14:val="standardContextual"/>
            </w:rPr>
          </w:pPr>
          <w:hyperlink w:anchor="_Toc1592721833">
            <w:r w:rsidRPr="5861C0E6">
              <w:rPr>
                <w:rStyle w:val="Hyperlink"/>
              </w:rPr>
              <w:t>PRINCIPLES OF ENGAGEMENT</w:t>
            </w:r>
            <w:r w:rsidR="00F82F26">
              <w:tab/>
            </w:r>
            <w:r w:rsidR="00F82F26">
              <w:fldChar w:fldCharType="begin"/>
            </w:r>
            <w:r w:rsidR="00F82F26">
              <w:instrText>PAGEREF _Toc1592721833 \h</w:instrText>
            </w:r>
            <w:r w:rsidR="00F82F26">
              <w:fldChar w:fldCharType="separate"/>
            </w:r>
            <w:r w:rsidRPr="5861C0E6">
              <w:rPr>
                <w:rStyle w:val="Hyperlink"/>
              </w:rPr>
              <w:t>7</w:t>
            </w:r>
            <w:r w:rsidR="00F82F26">
              <w:fldChar w:fldCharType="end"/>
            </w:r>
          </w:hyperlink>
        </w:p>
        <w:p w14:paraId="2B7A9225" w14:textId="04F2A270" w:rsidR="00F82F26" w:rsidRDefault="5861C0E6" w:rsidP="5861C0E6">
          <w:pPr>
            <w:pStyle w:val="TOC1"/>
            <w:tabs>
              <w:tab w:val="right" w:leader="dot" w:pos="9015"/>
            </w:tabs>
            <w:rPr>
              <w:rStyle w:val="Hyperlink"/>
              <w:noProof/>
              <w:kern w:val="2"/>
              <w:lang w:eastAsia="zh-CN"/>
              <w14:ligatures w14:val="standardContextual"/>
            </w:rPr>
          </w:pPr>
          <w:hyperlink w:anchor="_Toc1782984503">
            <w:r w:rsidRPr="5861C0E6">
              <w:rPr>
                <w:rStyle w:val="Hyperlink"/>
              </w:rPr>
              <w:t>INTERNAL INFORMATION-SHARING AND ENGAGEMENT COORDINATION</w:t>
            </w:r>
            <w:r w:rsidR="00F82F26">
              <w:tab/>
            </w:r>
            <w:r w:rsidR="00F82F26">
              <w:fldChar w:fldCharType="begin"/>
            </w:r>
            <w:r w:rsidR="00F82F26">
              <w:instrText>PAGEREF _Toc1782984503 \h</w:instrText>
            </w:r>
            <w:r w:rsidR="00F82F26">
              <w:fldChar w:fldCharType="separate"/>
            </w:r>
            <w:r w:rsidRPr="5861C0E6">
              <w:rPr>
                <w:rStyle w:val="Hyperlink"/>
              </w:rPr>
              <w:t>11</w:t>
            </w:r>
            <w:r w:rsidR="00F82F26">
              <w:fldChar w:fldCharType="end"/>
            </w:r>
          </w:hyperlink>
        </w:p>
        <w:p w14:paraId="18456791" w14:textId="46628718" w:rsidR="00F82F26" w:rsidRDefault="5861C0E6" w:rsidP="5861C0E6">
          <w:pPr>
            <w:pStyle w:val="TOC1"/>
            <w:tabs>
              <w:tab w:val="right" w:leader="dot" w:pos="9015"/>
            </w:tabs>
            <w:rPr>
              <w:rStyle w:val="Hyperlink"/>
              <w:noProof/>
              <w:kern w:val="2"/>
              <w:lang w:eastAsia="zh-CN"/>
              <w14:ligatures w14:val="standardContextual"/>
            </w:rPr>
          </w:pPr>
          <w:hyperlink w:anchor="_Toc390674826">
            <w:r w:rsidRPr="5861C0E6">
              <w:rPr>
                <w:rStyle w:val="Hyperlink"/>
              </w:rPr>
              <w:t>CITIZEN &amp; COMMUNITY ENGAGEMENT APPROACHES</w:t>
            </w:r>
            <w:r w:rsidR="00F82F26">
              <w:tab/>
            </w:r>
            <w:r w:rsidR="00F82F26">
              <w:fldChar w:fldCharType="begin"/>
            </w:r>
            <w:r w:rsidR="00F82F26">
              <w:instrText>PAGEREF _Toc390674826 \h</w:instrText>
            </w:r>
            <w:r w:rsidR="00F82F26">
              <w:fldChar w:fldCharType="separate"/>
            </w:r>
            <w:r w:rsidRPr="5861C0E6">
              <w:rPr>
                <w:rStyle w:val="Hyperlink"/>
              </w:rPr>
              <w:t>12</w:t>
            </w:r>
            <w:r w:rsidR="00F82F26">
              <w:fldChar w:fldCharType="end"/>
            </w:r>
          </w:hyperlink>
        </w:p>
        <w:p w14:paraId="39A2DC26" w14:textId="59961054" w:rsidR="00F82F26" w:rsidRDefault="5861C0E6" w:rsidP="5861C0E6">
          <w:pPr>
            <w:pStyle w:val="TOC1"/>
            <w:tabs>
              <w:tab w:val="right" w:leader="dot" w:pos="9015"/>
            </w:tabs>
            <w:rPr>
              <w:rStyle w:val="Hyperlink"/>
              <w:noProof/>
              <w:kern w:val="2"/>
              <w:lang w:eastAsia="zh-CN"/>
              <w14:ligatures w14:val="standardContextual"/>
            </w:rPr>
          </w:pPr>
          <w:hyperlink w:anchor="_Toc2021614907">
            <w:r w:rsidRPr="5861C0E6">
              <w:rPr>
                <w:rStyle w:val="Hyperlink"/>
              </w:rPr>
              <w:t>INCENTIVES</w:t>
            </w:r>
            <w:r w:rsidR="00F82F26">
              <w:tab/>
            </w:r>
            <w:r w:rsidR="00F82F26">
              <w:fldChar w:fldCharType="begin"/>
            </w:r>
            <w:r w:rsidR="00F82F26">
              <w:instrText>PAGEREF _Toc2021614907 \h</w:instrText>
            </w:r>
            <w:r w:rsidR="00F82F26">
              <w:fldChar w:fldCharType="separate"/>
            </w:r>
            <w:r w:rsidRPr="5861C0E6">
              <w:rPr>
                <w:rStyle w:val="Hyperlink"/>
              </w:rPr>
              <w:t>13</w:t>
            </w:r>
            <w:r w:rsidR="00F82F26">
              <w:fldChar w:fldCharType="end"/>
            </w:r>
          </w:hyperlink>
        </w:p>
        <w:p w14:paraId="37E479AB" w14:textId="71D2165A" w:rsidR="00F82F26" w:rsidRDefault="5861C0E6" w:rsidP="5861C0E6">
          <w:pPr>
            <w:pStyle w:val="TOC1"/>
            <w:tabs>
              <w:tab w:val="right" w:leader="dot" w:pos="9015"/>
            </w:tabs>
            <w:rPr>
              <w:rStyle w:val="Hyperlink"/>
              <w:noProof/>
              <w:kern w:val="2"/>
              <w:lang w:eastAsia="zh-CN"/>
              <w14:ligatures w14:val="standardContextual"/>
            </w:rPr>
          </w:pPr>
          <w:hyperlink w:anchor="_Toc74686540">
            <w:r w:rsidRPr="5861C0E6">
              <w:rPr>
                <w:rStyle w:val="Hyperlink"/>
              </w:rPr>
              <w:t>DATA, DEMOGRAPHICS &amp; INTELLIGENCE</w:t>
            </w:r>
            <w:r w:rsidR="00F82F26">
              <w:tab/>
            </w:r>
            <w:r w:rsidR="00F82F26">
              <w:fldChar w:fldCharType="begin"/>
            </w:r>
            <w:r w:rsidR="00F82F26">
              <w:instrText>PAGEREF _Toc74686540 \h</w:instrText>
            </w:r>
            <w:r w:rsidR="00F82F26">
              <w:fldChar w:fldCharType="separate"/>
            </w:r>
            <w:r w:rsidRPr="5861C0E6">
              <w:rPr>
                <w:rStyle w:val="Hyperlink"/>
              </w:rPr>
              <w:t>13</w:t>
            </w:r>
            <w:r w:rsidR="00F82F26">
              <w:fldChar w:fldCharType="end"/>
            </w:r>
          </w:hyperlink>
        </w:p>
        <w:p w14:paraId="531C631F" w14:textId="7D8AEB31" w:rsidR="00F82F26" w:rsidRDefault="5861C0E6" w:rsidP="5861C0E6">
          <w:pPr>
            <w:pStyle w:val="TOC1"/>
            <w:tabs>
              <w:tab w:val="right" w:leader="dot" w:pos="9015"/>
            </w:tabs>
            <w:rPr>
              <w:rStyle w:val="Hyperlink"/>
              <w:noProof/>
              <w:kern w:val="2"/>
              <w:lang w:eastAsia="zh-CN"/>
              <w14:ligatures w14:val="standardContextual"/>
            </w:rPr>
          </w:pPr>
          <w:hyperlink w:anchor="_Toc2025891458">
            <w:r w:rsidRPr="5861C0E6">
              <w:rPr>
                <w:rStyle w:val="Hyperlink"/>
              </w:rPr>
              <w:t>PUBLIC INVOLVEMENT AT COUNCIL MEETINGS</w:t>
            </w:r>
            <w:r w:rsidR="00F82F26">
              <w:tab/>
            </w:r>
            <w:r w:rsidR="00F82F26">
              <w:fldChar w:fldCharType="begin"/>
            </w:r>
            <w:r w:rsidR="00F82F26">
              <w:instrText>PAGEREF _Toc2025891458 \h</w:instrText>
            </w:r>
            <w:r w:rsidR="00F82F26">
              <w:fldChar w:fldCharType="separate"/>
            </w:r>
            <w:r w:rsidRPr="5861C0E6">
              <w:rPr>
                <w:rStyle w:val="Hyperlink"/>
              </w:rPr>
              <w:t>14</w:t>
            </w:r>
            <w:r w:rsidR="00F82F26">
              <w:fldChar w:fldCharType="end"/>
            </w:r>
          </w:hyperlink>
        </w:p>
        <w:p w14:paraId="0313797A" w14:textId="64186AC5" w:rsidR="00F82F26" w:rsidRDefault="5861C0E6" w:rsidP="5861C0E6">
          <w:pPr>
            <w:pStyle w:val="TOC1"/>
            <w:tabs>
              <w:tab w:val="right" w:leader="dot" w:pos="9015"/>
            </w:tabs>
            <w:rPr>
              <w:rStyle w:val="Hyperlink"/>
              <w:noProof/>
              <w:kern w:val="2"/>
              <w:lang w:eastAsia="zh-CN"/>
              <w14:ligatures w14:val="standardContextual"/>
            </w:rPr>
          </w:pPr>
          <w:hyperlink w:anchor="_Toc228074567">
            <w:r w:rsidRPr="5861C0E6">
              <w:rPr>
                <w:rStyle w:val="Hyperlink"/>
              </w:rPr>
              <w:t>MONITORING AND REPORTING</w:t>
            </w:r>
            <w:r w:rsidR="00F82F26">
              <w:tab/>
            </w:r>
            <w:r w:rsidR="00F82F26">
              <w:fldChar w:fldCharType="begin"/>
            </w:r>
            <w:r w:rsidR="00F82F26">
              <w:instrText>PAGEREF _Toc228074567 \h</w:instrText>
            </w:r>
            <w:r w:rsidR="00F82F26">
              <w:fldChar w:fldCharType="separate"/>
            </w:r>
            <w:r w:rsidRPr="5861C0E6">
              <w:rPr>
                <w:rStyle w:val="Hyperlink"/>
              </w:rPr>
              <w:t>14</w:t>
            </w:r>
            <w:r w:rsidR="00F82F26">
              <w:fldChar w:fldCharType="end"/>
            </w:r>
          </w:hyperlink>
        </w:p>
        <w:p w14:paraId="1D27EF4D" w14:textId="1E7C8AFF" w:rsidR="00F82F26" w:rsidRDefault="5861C0E6" w:rsidP="5861C0E6">
          <w:pPr>
            <w:pStyle w:val="TOC1"/>
            <w:tabs>
              <w:tab w:val="right" w:leader="dot" w:pos="9015"/>
            </w:tabs>
            <w:rPr>
              <w:rStyle w:val="Hyperlink"/>
              <w:noProof/>
              <w:kern w:val="2"/>
              <w:lang w:eastAsia="zh-CN"/>
              <w14:ligatures w14:val="standardContextual"/>
            </w:rPr>
          </w:pPr>
          <w:hyperlink w:anchor="_Toc320244521">
            <w:r w:rsidRPr="5861C0E6">
              <w:rPr>
                <w:rStyle w:val="Hyperlink"/>
              </w:rPr>
              <w:t>FURTHER READING</w:t>
            </w:r>
            <w:r w:rsidR="00F82F26">
              <w:tab/>
            </w:r>
            <w:r w:rsidR="00F82F26">
              <w:fldChar w:fldCharType="begin"/>
            </w:r>
            <w:r w:rsidR="00F82F26">
              <w:instrText>PAGEREF _Toc320244521 \h</w:instrText>
            </w:r>
            <w:r w:rsidR="00F82F26">
              <w:fldChar w:fldCharType="separate"/>
            </w:r>
            <w:r w:rsidRPr="5861C0E6">
              <w:rPr>
                <w:rStyle w:val="Hyperlink"/>
              </w:rPr>
              <w:t>14</w:t>
            </w:r>
            <w:r w:rsidR="00F82F26">
              <w:fldChar w:fldCharType="end"/>
            </w:r>
          </w:hyperlink>
          <w:r w:rsidR="00F82F26">
            <w:fldChar w:fldCharType="end"/>
          </w:r>
        </w:p>
      </w:sdtContent>
    </w:sdt>
    <w:p w14:paraId="6D2C5CFF" w14:textId="2014165F" w:rsidR="0032188C" w:rsidRDefault="0032188C" w:rsidP="46EF5196">
      <w:pPr>
        <w:pStyle w:val="TOC1"/>
        <w:tabs>
          <w:tab w:val="right" w:leader="dot" w:pos="9015"/>
        </w:tabs>
        <w:rPr>
          <w:rStyle w:val="Hyperlink"/>
          <w:noProof/>
          <w:kern w:val="2"/>
          <w:lang w:eastAsia="en-GB"/>
          <w14:ligatures w14:val="standardContextual"/>
        </w:rPr>
      </w:pPr>
    </w:p>
    <w:p w14:paraId="7192D6AE" w14:textId="59F89B0C" w:rsidR="000B6975" w:rsidRDefault="000B6975" w:rsidP="7B209F1D"/>
    <w:p w14:paraId="311A66FD" w14:textId="77777777" w:rsidR="00B55BA7" w:rsidRDefault="00B55BA7" w:rsidP="7B209F1D">
      <w:pPr>
        <w:rPr>
          <w:b/>
          <w:bCs/>
        </w:rPr>
      </w:pPr>
    </w:p>
    <w:p w14:paraId="4DC5EAAD" w14:textId="77777777" w:rsidR="005902EA" w:rsidRDefault="005902EA" w:rsidP="7B209F1D">
      <w:pPr>
        <w:rPr>
          <w:b/>
          <w:bCs/>
        </w:rPr>
      </w:pPr>
    </w:p>
    <w:p w14:paraId="7F490847" w14:textId="77777777" w:rsidR="005902EA" w:rsidRDefault="005902EA" w:rsidP="7B209F1D">
      <w:pPr>
        <w:rPr>
          <w:b/>
          <w:bCs/>
        </w:rPr>
      </w:pPr>
    </w:p>
    <w:p w14:paraId="7123CCB7" w14:textId="3C5D355D" w:rsidR="005902EA" w:rsidRDefault="005902EA" w:rsidP="0D191D4C">
      <w:pPr>
        <w:rPr>
          <w:b/>
          <w:bCs/>
        </w:rPr>
      </w:pPr>
    </w:p>
    <w:p w14:paraId="7156C449" w14:textId="63861283" w:rsidR="007902B5" w:rsidRDefault="007902B5" w:rsidP="61C78D60">
      <w:pPr>
        <w:rPr>
          <w:b/>
          <w:bCs/>
        </w:rPr>
      </w:pPr>
    </w:p>
    <w:p w14:paraId="260E188B" w14:textId="77777777" w:rsidR="00B55BA7" w:rsidRDefault="00B55BA7" w:rsidP="7B209F1D">
      <w:pPr>
        <w:rPr>
          <w:b/>
          <w:bCs/>
        </w:rPr>
      </w:pPr>
    </w:p>
    <w:p w14:paraId="22CE12A3" w14:textId="77777777" w:rsidR="00B55BA7" w:rsidRDefault="00B55BA7" w:rsidP="7B209F1D">
      <w:pPr>
        <w:rPr>
          <w:b/>
          <w:bCs/>
        </w:rPr>
      </w:pPr>
    </w:p>
    <w:p w14:paraId="6314D075" w14:textId="77777777" w:rsidR="00B55BA7" w:rsidRDefault="00B55BA7" w:rsidP="7B209F1D">
      <w:pPr>
        <w:rPr>
          <w:b/>
          <w:bCs/>
        </w:rPr>
      </w:pPr>
    </w:p>
    <w:p w14:paraId="537F6A25" w14:textId="77777777" w:rsidR="00B55BA7" w:rsidRDefault="00B55BA7" w:rsidP="7B209F1D">
      <w:pPr>
        <w:rPr>
          <w:b/>
          <w:bCs/>
        </w:rPr>
      </w:pPr>
    </w:p>
    <w:p w14:paraId="6304DBD5" w14:textId="77777777" w:rsidR="00B55BA7" w:rsidRDefault="00B55BA7" w:rsidP="7B209F1D">
      <w:pPr>
        <w:rPr>
          <w:b/>
          <w:bCs/>
        </w:rPr>
      </w:pPr>
    </w:p>
    <w:p w14:paraId="5E03A13D" w14:textId="77777777" w:rsidR="00B55BA7" w:rsidRDefault="00B55BA7" w:rsidP="7B209F1D">
      <w:pPr>
        <w:rPr>
          <w:b/>
          <w:bCs/>
        </w:rPr>
      </w:pPr>
    </w:p>
    <w:p w14:paraId="583A29B5" w14:textId="77777777" w:rsidR="00B55BA7" w:rsidRDefault="00B55BA7" w:rsidP="7B209F1D">
      <w:pPr>
        <w:rPr>
          <w:b/>
          <w:bCs/>
        </w:rPr>
      </w:pPr>
    </w:p>
    <w:p w14:paraId="3679C8C7" w14:textId="77777777" w:rsidR="00B55BA7" w:rsidRDefault="00B55BA7" w:rsidP="7B209F1D">
      <w:pPr>
        <w:rPr>
          <w:b/>
          <w:bCs/>
        </w:rPr>
      </w:pPr>
    </w:p>
    <w:p w14:paraId="332FE73E" w14:textId="77777777" w:rsidR="00B55BA7" w:rsidRDefault="00B55BA7" w:rsidP="7B209F1D">
      <w:pPr>
        <w:rPr>
          <w:b/>
          <w:bCs/>
        </w:rPr>
      </w:pPr>
    </w:p>
    <w:p w14:paraId="22493899" w14:textId="77777777" w:rsidR="00B55BA7" w:rsidRDefault="00B55BA7" w:rsidP="7B209F1D">
      <w:pPr>
        <w:rPr>
          <w:b/>
          <w:bCs/>
        </w:rPr>
      </w:pPr>
    </w:p>
    <w:p w14:paraId="66F7E8B7" w14:textId="77777777" w:rsidR="00510F21" w:rsidRDefault="00510F21" w:rsidP="7B209F1D">
      <w:pPr>
        <w:rPr>
          <w:b/>
          <w:bCs/>
        </w:rPr>
      </w:pPr>
    </w:p>
    <w:p w14:paraId="4A541BAB" w14:textId="2CB8E0C4" w:rsidR="00F82F26" w:rsidRDefault="00F82F26">
      <w:pPr>
        <w:rPr>
          <w:b/>
          <w:bCs/>
        </w:rPr>
      </w:pPr>
      <w:r>
        <w:rPr>
          <w:b/>
          <w:bCs/>
        </w:rPr>
        <w:br w:type="page"/>
      </w:r>
    </w:p>
    <w:p w14:paraId="77DD8259" w14:textId="713A273D" w:rsidR="003376F1" w:rsidRPr="00927603" w:rsidRDefault="38C6ECB7" w:rsidP="00927603">
      <w:pPr>
        <w:pStyle w:val="Heading1"/>
        <w:rPr>
          <w:rFonts w:ascii="Arial" w:hAnsi="Arial" w:cs="Arial"/>
          <w:b/>
          <w:bCs/>
          <w:color w:val="auto"/>
          <w:sz w:val="24"/>
          <w:szCs w:val="24"/>
        </w:rPr>
      </w:pPr>
      <w:bookmarkStart w:id="0" w:name="_Toc2061843720"/>
      <w:r w:rsidRPr="5861C0E6">
        <w:rPr>
          <w:rFonts w:ascii="Arial" w:hAnsi="Arial" w:cs="Arial"/>
          <w:b/>
          <w:bCs/>
          <w:color w:val="auto"/>
          <w:sz w:val="24"/>
          <w:szCs w:val="24"/>
        </w:rPr>
        <w:lastRenderedPageBreak/>
        <w:t>PURPOSE</w:t>
      </w:r>
      <w:bookmarkEnd w:id="0"/>
    </w:p>
    <w:p w14:paraId="739C7E37" w14:textId="4989E28F" w:rsidR="003376F1" w:rsidRDefault="003376F1" w:rsidP="7B209F1D">
      <w:pPr>
        <w:jc w:val="both"/>
      </w:pPr>
      <w:r>
        <w:t>The</w:t>
      </w:r>
      <w:r w:rsidR="000A71E2">
        <w:t xml:space="preserve"> Citizen and</w:t>
      </w:r>
      <w:r>
        <w:t xml:space="preserve"> Community Engagement Policy Statement sets out how Oxford City Council engages its </w:t>
      </w:r>
      <w:r w:rsidR="00043A90">
        <w:t xml:space="preserve">citizens and </w:t>
      </w:r>
      <w:r>
        <w:t xml:space="preserve">communities in decision-making. </w:t>
      </w:r>
      <w:r w:rsidR="00BB3E21">
        <w:t>It provides the framework for how the Council engages with citizens and communities to develop a greater understanding of their needs</w:t>
      </w:r>
      <w:r w:rsidR="5667BCF5">
        <w:t>, perspectives and priorities,</w:t>
      </w:r>
      <w:r w:rsidR="00BB3E21">
        <w:t xml:space="preserve"> and </w:t>
      </w:r>
      <w:r w:rsidR="39151475">
        <w:t xml:space="preserve">to </w:t>
      </w:r>
      <w:r w:rsidR="00787E9F">
        <w:t>facilitate meaningful involvement in the decisions that affect them</w:t>
      </w:r>
      <w:r w:rsidR="00EA1DF7">
        <w:t xml:space="preserve">. </w:t>
      </w:r>
    </w:p>
    <w:p w14:paraId="1A5B8164" w14:textId="437F9A11" w:rsidR="00787E9F" w:rsidRDefault="00787E9F" w:rsidP="7B209F1D">
      <w:pPr>
        <w:jc w:val="both"/>
      </w:pPr>
    </w:p>
    <w:p w14:paraId="1B6D6C8C" w14:textId="175BACB3" w:rsidR="00787E9F" w:rsidRPr="00927603" w:rsidRDefault="38C6ECB7" w:rsidP="00927603">
      <w:pPr>
        <w:pStyle w:val="Heading1"/>
        <w:rPr>
          <w:rFonts w:ascii="Arial" w:hAnsi="Arial" w:cs="Arial"/>
          <w:b/>
          <w:bCs/>
          <w:color w:val="auto"/>
          <w:sz w:val="24"/>
          <w:szCs w:val="24"/>
        </w:rPr>
      </w:pPr>
      <w:bookmarkStart w:id="1" w:name="_Toc1134555897"/>
      <w:r w:rsidRPr="5861C0E6">
        <w:rPr>
          <w:rFonts w:ascii="Arial" w:hAnsi="Arial" w:cs="Arial"/>
          <w:b/>
          <w:bCs/>
          <w:color w:val="auto"/>
          <w:sz w:val="24"/>
          <w:szCs w:val="24"/>
        </w:rPr>
        <w:t>POLICY CONTEXT</w:t>
      </w:r>
      <w:bookmarkEnd w:id="1"/>
    </w:p>
    <w:p w14:paraId="09C5C8CB" w14:textId="30327FB4" w:rsidR="00787E9F" w:rsidRDefault="00787E9F" w:rsidP="7B209F1D">
      <w:pPr>
        <w:jc w:val="both"/>
      </w:pPr>
      <w:r w:rsidRPr="7B209F1D">
        <w:t>This Policy Statement is underpinned by the Cabinet Office’s guidance on Consultation Principles (March 2018)</w:t>
      </w:r>
      <w:r w:rsidRPr="7B209F1D">
        <w:rPr>
          <w:rStyle w:val="FootnoteReference"/>
        </w:rPr>
        <w:footnoteReference w:id="2"/>
      </w:r>
      <w:r w:rsidR="00883F3D" w:rsidRPr="7B209F1D">
        <w:t xml:space="preserve"> and sets out the framework for how</w:t>
      </w:r>
      <w:r w:rsidR="00A93E64" w:rsidRPr="7B209F1D">
        <w:t xml:space="preserve"> the Council will deliver activity in support of </w:t>
      </w:r>
      <w:r w:rsidR="3E9BACED" w:rsidRPr="7B209F1D">
        <w:t>the priorities</w:t>
      </w:r>
      <w:r w:rsidR="00266648" w:rsidRPr="7B209F1D">
        <w:t xml:space="preserve"> within the Council’s Corporate </w:t>
      </w:r>
      <w:r w:rsidR="00C669B1" w:rsidRPr="7B209F1D">
        <w:t>Strategy 2024-28.</w:t>
      </w:r>
    </w:p>
    <w:p w14:paraId="113A5326" w14:textId="05949760" w:rsidR="001867A5" w:rsidRDefault="001867A5" w:rsidP="7B209F1D">
      <w:pPr>
        <w:jc w:val="both"/>
      </w:pPr>
    </w:p>
    <w:p w14:paraId="782E7153" w14:textId="1D66B75F" w:rsidR="002B0CC2" w:rsidRDefault="002B0CC2" w:rsidP="7B209F1D">
      <w:pPr>
        <w:jc w:val="both"/>
      </w:pPr>
      <w:r>
        <w:t xml:space="preserve">This policy aligns with new obligations under the Social Housing Act, particularly in the areas of tenant engagement and the protection of tenant rights. It sets forth how the Council will </w:t>
      </w:r>
      <w:r w:rsidR="00E50B4C">
        <w:t>fulfil</w:t>
      </w:r>
      <w:r>
        <w:t xml:space="preserve"> these obligations through enhanced engagement and service improvements tailored to tenant needs.</w:t>
      </w:r>
    </w:p>
    <w:p w14:paraId="4560BCA1" w14:textId="77777777" w:rsidR="002B0CC2" w:rsidRDefault="002B0CC2" w:rsidP="7B209F1D">
      <w:pPr>
        <w:jc w:val="both"/>
      </w:pPr>
    </w:p>
    <w:p w14:paraId="307FE4B0" w14:textId="789342E7" w:rsidR="001867A5" w:rsidRDefault="001867A5" w:rsidP="7B209F1D">
      <w:pPr>
        <w:jc w:val="both"/>
      </w:pPr>
      <w:r w:rsidRPr="7B209F1D">
        <w:t>It should be read in conjunction with the following related Council documents:</w:t>
      </w:r>
    </w:p>
    <w:p w14:paraId="447A89F5" w14:textId="2C0B6787" w:rsidR="001867A5" w:rsidRDefault="001867A5" w:rsidP="7B209F1D"/>
    <w:p w14:paraId="472E2CD1" w14:textId="6C8D52A0" w:rsidR="00C669B1" w:rsidRDefault="00C669B1" w:rsidP="7B209F1D">
      <w:pPr>
        <w:pStyle w:val="ListParagraph"/>
        <w:numPr>
          <w:ilvl w:val="0"/>
          <w:numId w:val="5"/>
        </w:numPr>
        <w:jc w:val="both"/>
      </w:pPr>
      <w:hyperlink r:id="rId11">
        <w:r w:rsidRPr="7573BB88">
          <w:rPr>
            <w:rStyle w:val="Hyperlink"/>
          </w:rPr>
          <w:t>Corporate Strategy 2024-28</w:t>
        </w:r>
      </w:hyperlink>
    </w:p>
    <w:p w14:paraId="297D2D4A" w14:textId="454A1C58" w:rsidR="001867A5" w:rsidRDefault="001867A5" w:rsidP="7B209F1D">
      <w:pPr>
        <w:pStyle w:val="ListParagraph"/>
        <w:numPr>
          <w:ilvl w:val="0"/>
          <w:numId w:val="5"/>
        </w:numPr>
        <w:jc w:val="both"/>
      </w:pPr>
      <w:hyperlink r:id="rId12">
        <w:r w:rsidRPr="7573BB88">
          <w:rPr>
            <w:rStyle w:val="Hyperlink"/>
          </w:rPr>
          <w:t>Constitution</w:t>
        </w:r>
      </w:hyperlink>
    </w:p>
    <w:p w14:paraId="398E2AA9" w14:textId="7784F875" w:rsidR="001867A5" w:rsidRDefault="001867A5" w:rsidP="7B209F1D">
      <w:pPr>
        <w:pStyle w:val="ListParagraph"/>
        <w:numPr>
          <w:ilvl w:val="0"/>
          <w:numId w:val="5"/>
        </w:numPr>
        <w:jc w:val="both"/>
      </w:pPr>
      <w:hyperlink r:id="rId13">
        <w:r w:rsidRPr="7573BB88">
          <w:rPr>
            <w:rStyle w:val="Hyperlink"/>
          </w:rPr>
          <w:t>Thriving Communities Strategy 2023-27</w:t>
        </w:r>
      </w:hyperlink>
    </w:p>
    <w:p w14:paraId="4C8F729F" w14:textId="4787A33D" w:rsidR="001867A5" w:rsidRDefault="001867A5" w:rsidP="7B209F1D">
      <w:pPr>
        <w:pStyle w:val="ListParagraph"/>
        <w:numPr>
          <w:ilvl w:val="0"/>
          <w:numId w:val="5"/>
        </w:numPr>
        <w:jc w:val="both"/>
      </w:pPr>
      <w:hyperlink r:id="rId14">
        <w:r w:rsidRPr="7573BB88">
          <w:rPr>
            <w:rStyle w:val="Hyperlink"/>
          </w:rPr>
          <w:t>Citizen Experience Strategy 2023-25</w:t>
        </w:r>
      </w:hyperlink>
    </w:p>
    <w:p w14:paraId="51950B5E" w14:textId="23004EFC" w:rsidR="001867A5" w:rsidRDefault="001867A5" w:rsidP="7B209F1D">
      <w:pPr>
        <w:pStyle w:val="ListParagraph"/>
        <w:numPr>
          <w:ilvl w:val="0"/>
          <w:numId w:val="5"/>
        </w:numPr>
        <w:jc w:val="both"/>
      </w:pPr>
      <w:hyperlink r:id="rId15">
        <w:r w:rsidRPr="7573BB88">
          <w:rPr>
            <w:rStyle w:val="Hyperlink"/>
          </w:rPr>
          <w:t xml:space="preserve">Equality, </w:t>
        </w:r>
        <w:r w:rsidR="7EB4A998" w:rsidRPr="7573BB88">
          <w:rPr>
            <w:rStyle w:val="Hyperlink"/>
          </w:rPr>
          <w:t>Diversity,</w:t>
        </w:r>
        <w:r w:rsidRPr="7573BB88">
          <w:rPr>
            <w:rStyle w:val="Hyperlink"/>
          </w:rPr>
          <w:t xml:space="preserve"> and Inclusion Strategy</w:t>
        </w:r>
      </w:hyperlink>
      <w:r>
        <w:t xml:space="preserve"> </w:t>
      </w:r>
    </w:p>
    <w:p w14:paraId="1ACB8790" w14:textId="619AD947" w:rsidR="001867A5" w:rsidRDefault="001867A5" w:rsidP="7B209F1D">
      <w:pPr>
        <w:pStyle w:val="ListParagraph"/>
        <w:numPr>
          <w:ilvl w:val="0"/>
          <w:numId w:val="5"/>
        </w:numPr>
        <w:jc w:val="both"/>
      </w:pPr>
      <w:hyperlink r:id="rId16">
        <w:r w:rsidRPr="7573BB88">
          <w:rPr>
            <w:rStyle w:val="Hyperlink"/>
          </w:rPr>
          <w:t xml:space="preserve">Consultation </w:t>
        </w:r>
        <w:r w:rsidR="364BACC5" w:rsidRPr="7573BB88">
          <w:rPr>
            <w:rStyle w:val="Hyperlink"/>
          </w:rPr>
          <w:t xml:space="preserve">&amp; Engagement </w:t>
        </w:r>
        <w:r w:rsidRPr="7573BB88">
          <w:rPr>
            <w:rStyle w:val="Hyperlink"/>
          </w:rPr>
          <w:t>Toolkit</w:t>
        </w:r>
      </w:hyperlink>
    </w:p>
    <w:p w14:paraId="00EAE575" w14:textId="411F1D5D" w:rsidR="2EC90572" w:rsidRDefault="2EC90572" w:rsidP="7B209F1D">
      <w:pPr>
        <w:pStyle w:val="ListParagraph"/>
        <w:numPr>
          <w:ilvl w:val="0"/>
          <w:numId w:val="5"/>
        </w:numPr>
        <w:jc w:val="both"/>
      </w:pPr>
      <w:hyperlink r:id="rId17">
        <w:r w:rsidRPr="7573BB88">
          <w:rPr>
            <w:rStyle w:val="Hyperlink"/>
          </w:rPr>
          <w:t>Public Involvement Project Brief Template</w:t>
        </w:r>
      </w:hyperlink>
    </w:p>
    <w:p w14:paraId="6F948B41" w14:textId="5035DE62" w:rsidR="419C6F99" w:rsidRDefault="419C6F99" w:rsidP="7B209F1D">
      <w:pPr>
        <w:pStyle w:val="ListParagraph"/>
        <w:numPr>
          <w:ilvl w:val="0"/>
          <w:numId w:val="5"/>
        </w:numPr>
        <w:jc w:val="both"/>
      </w:pPr>
      <w:hyperlink r:id="rId18">
        <w:r w:rsidRPr="7573BB88">
          <w:rPr>
            <w:rStyle w:val="Hyperlink"/>
          </w:rPr>
          <w:t xml:space="preserve">Question design </w:t>
        </w:r>
        <w:r w:rsidR="005523CE" w:rsidRPr="7573BB88">
          <w:rPr>
            <w:rStyle w:val="Hyperlink"/>
          </w:rPr>
          <w:t>guidelines.</w:t>
        </w:r>
      </w:hyperlink>
    </w:p>
    <w:p w14:paraId="5853533A" w14:textId="56E1D4A2" w:rsidR="001867A5" w:rsidRDefault="001867A5" w:rsidP="7B209F1D">
      <w:pPr>
        <w:pStyle w:val="ListParagraph"/>
        <w:numPr>
          <w:ilvl w:val="0"/>
          <w:numId w:val="5"/>
        </w:numPr>
        <w:jc w:val="both"/>
      </w:pPr>
      <w:hyperlink r:id="rId19">
        <w:r w:rsidRPr="7573BB88">
          <w:rPr>
            <w:rStyle w:val="Hyperlink"/>
          </w:rPr>
          <w:t>Statement of Community Involvement</w:t>
        </w:r>
      </w:hyperlink>
    </w:p>
    <w:p w14:paraId="30A72511" w14:textId="2B9B7811" w:rsidR="00756DE2" w:rsidRDefault="00756DE2" w:rsidP="7B209F1D">
      <w:pPr>
        <w:jc w:val="both"/>
      </w:pPr>
    </w:p>
    <w:p w14:paraId="0659E9A3" w14:textId="4B00B40A" w:rsidR="00756DE2" w:rsidRDefault="00756DE2" w:rsidP="7B209F1D">
      <w:pPr>
        <w:jc w:val="both"/>
      </w:pPr>
      <w:r w:rsidRPr="7B209F1D">
        <w:t>This Policy Statement supersedes the Community Engagement Policy Statement 2014-17</w:t>
      </w:r>
      <w:r w:rsidR="00A42B7D" w:rsidRPr="7B209F1D">
        <w:t xml:space="preserve"> and the Consultation Strategy 2010-13</w:t>
      </w:r>
      <w:r w:rsidRPr="7B209F1D">
        <w:t>.</w:t>
      </w:r>
    </w:p>
    <w:p w14:paraId="4DE093F1" w14:textId="5C0811D9" w:rsidR="001867A5" w:rsidRDefault="001867A5" w:rsidP="7B209F1D">
      <w:pPr>
        <w:jc w:val="both"/>
      </w:pPr>
    </w:p>
    <w:p w14:paraId="2CF20448" w14:textId="48E20B8C" w:rsidR="001D46CD" w:rsidRPr="00927603" w:rsidRDefault="001D46CD" w:rsidP="215E46FE">
      <w:pPr>
        <w:pStyle w:val="Heading1"/>
        <w:rPr>
          <w:rFonts w:ascii="Arial" w:hAnsi="Arial" w:cs="Arial"/>
          <w:b/>
          <w:bCs/>
          <w:color w:val="auto"/>
          <w:sz w:val="24"/>
          <w:szCs w:val="24"/>
        </w:rPr>
      </w:pPr>
    </w:p>
    <w:p w14:paraId="0D798508" w14:textId="5D3468F3" w:rsidR="001D46CD" w:rsidRPr="00927603" w:rsidRDefault="001D46CD" w:rsidP="215E46FE">
      <w:pPr>
        <w:pStyle w:val="Heading1"/>
        <w:rPr>
          <w:rFonts w:ascii="Arial" w:hAnsi="Arial" w:cs="Arial"/>
          <w:b/>
          <w:bCs/>
          <w:color w:val="auto"/>
          <w:sz w:val="24"/>
          <w:szCs w:val="24"/>
        </w:rPr>
      </w:pPr>
    </w:p>
    <w:p w14:paraId="79F91AA6" w14:textId="465EFF7E" w:rsidR="001D46CD" w:rsidRPr="00927603" w:rsidRDefault="001D46CD" w:rsidP="215E46FE">
      <w:pPr>
        <w:pStyle w:val="Heading1"/>
        <w:rPr>
          <w:rFonts w:ascii="Arial" w:hAnsi="Arial" w:cs="Arial"/>
          <w:b/>
          <w:bCs/>
          <w:color w:val="auto"/>
          <w:sz w:val="24"/>
          <w:szCs w:val="24"/>
        </w:rPr>
      </w:pPr>
    </w:p>
    <w:p w14:paraId="2582EAF3" w14:textId="6DF2657C" w:rsidR="001D46CD" w:rsidRPr="00927603" w:rsidRDefault="1A75633B" w:rsidP="00927603">
      <w:pPr>
        <w:pStyle w:val="Heading1"/>
        <w:rPr>
          <w:rFonts w:ascii="Arial" w:hAnsi="Arial" w:cs="Arial"/>
          <w:b/>
          <w:bCs/>
          <w:color w:val="auto"/>
          <w:sz w:val="24"/>
          <w:szCs w:val="24"/>
        </w:rPr>
      </w:pPr>
      <w:bookmarkStart w:id="2" w:name="_Toc1215415837"/>
      <w:r w:rsidRPr="215E46FE">
        <w:rPr>
          <w:rFonts w:ascii="Arial" w:hAnsi="Arial" w:cs="Arial"/>
          <w:b/>
          <w:bCs/>
          <w:color w:val="auto"/>
          <w:sz w:val="24"/>
          <w:szCs w:val="24"/>
        </w:rPr>
        <w:t>KEY DEFINITIONS</w:t>
      </w:r>
      <w:bookmarkEnd w:id="2"/>
    </w:p>
    <w:p w14:paraId="070E7747" w14:textId="77777777" w:rsidR="001D46CD" w:rsidRDefault="001D46CD" w:rsidP="7B209F1D">
      <w:pPr>
        <w:jc w:val="both"/>
      </w:pPr>
    </w:p>
    <w:p w14:paraId="507B8D97" w14:textId="7CE4ED15" w:rsidR="00D7232B" w:rsidRPr="002709DB" w:rsidRDefault="00D7232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7B209F1D">
        <w:rPr>
          <w:b/>
          <w:bCs/>
        </w:rPr>
        <w:t xml:space="preserve">Engagement – </w:t>
      </w:r>
      <w:r w:rsidR="002709DB" w:rsidRPr="7B209F1D">
        <w:t>the act of involving or seeking feedback from citizens and communities.</w:t>
      </w:r>
    </w:p>
    <w:p w14:paraId="537D26DF" w14:textId="77777777" w:rsidR="00D7232B" w:rsidRDefault="00D7232B" w:rsidP="7B209F1D">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p>
    <w:p w14:paraId="3C2BAFE7" w14:textId="0F0FABCD" w:rsidR="00D7232B" w:rsidRPr="00F46EDA" w:rsidRDefault="00D7232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7B209F1D">
        <w:rPr>
          <w:b/>
          <w:bCs/>
        </w:rPr>
        <w:t xml:space="preserve">Consultation – </w:t>
      </w:r>
      <w:r w:rsidR="00F46EDA" w:rsidRPr="7B209F1D">
        <w:t xml:space="preserve">the act of exchanging information and opinions </w:t>
      </w:r>
      <w:r w:rsidR="002A1BE9" w:rsidRPr="7B209F1D">
        <w:t xml:space="preserve">about an issue, proposal, or decision </w:t>
      </w:r>
      <w:r w:rsidR="005523CE" w:rsidRPr="7B209F1D">
        <w:t>to</w:t>
      </w:r>
      <w:r w:rsidR="002A1BE9" w:rsidRPr="7B209F1D">
        <w:t xml:space="preserve"> reach a better understanding of it </w:t>
      </w:r>
      <w:r w:rsidR="66192612" w:rsidRPr="7B209F1D">
        <w:t>to</w:t>
      </w:r>
      <w:r w:rsidR="002A1BE9" w:rsidRPr="7B209F1D">
        <w:t xml:space="preserve"> </w:t>
      </w:r>
      <w:r w:rsidR="3B113BE2" w:rsidRPr="7B209F1D">
        <w:t>decide</w:t>
      </w:r>
      <w:r w:rsidR="002A1BE9" w:rsidRPr="7B209F1D">
        <w:t xml:space="preserve"> or reach a conclusion.</w:t>
      </w:r>
    </w:p>
    <w:p w14:paraId="7000E0FE" w14:textId="77777777" w:rsidR="00D7232B" w:rsidRDefault="00D7232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
          <w:bCs/>
        </w:rPr>
      </w:pPr>
    </w:p>
    <w:p w14:paraId="0D83320A" w14:textId="20FD6CDD" w:rsidR="00D7232B" w:rsidRDefault="00D7232B" w:rsidP="5C7EE1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5C7EE11D">
        <w:rPr>
          <w:b/>
          <w:bCs/>
        </w:rPr>
        <w:t xml:space="preserve">Citizen – </w:t>
      </w:r>
      <w:r>
        <w:t xml:space="preserve">“citizens” are those who live, work </w:t>
      </w:r>
      <w:r w:rsidR="673E61D8">
        <w:t>in,</w:t>
      </w:r>
      <w:r>
        <w:t xml:space="preserve"> and visit the City Council</w:t>
      </w:r>
      <w:r w:rsidR="4F2051FB">
        <w:t xml:space="preserve"> and/or the City of Oxford.</w:t>
      </w:r>
    </w:p>
    <w:p w14:paraId="3CECEE18" w14:textId="77777777" w:rsidR="00D7232B" w:rsidRDefault="00D7232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p>
    <w:p w14:paraId="34238EDD" w14:textId="0627CA54" w:rsidR="00D7232B" w:rsidRPr="007554F4" w:rsidRDefault="00D7232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7B209F1D">
        <w:rPr>
          <w:b/>
          <w:bCs/>
        </w:rPr>
        <w:t>Community</w:t>
      </w:r>
      <w:r w:rsidRPr="7B209F1D">
        <w:t xml:space="preserve"> </w:t>
      </w:r>
      <w:r w:rsidR="007554F4" w:rsidRPr="7B209F1D">
        <w:t>–</w:t>
      </w:r>
      <w:r w:rsidRPr="7B209F1D">
        <w:t xml:space="preserve"> </w:t>
      </w:r>
      <w:r w:rsidR="007554F4" w:rsidRPr="7B209F1D">
        <w:t xml:space="preserve">having defining characteristics such as place, </w:t>
      </w:r>
      <w:r w:rsidR="47374905" w:rsidRPr="7B209F1D">
        <w:t>identity,</w:t>
      </w:r>
      <w:r w:rsidR="007554F4" w:rsidRPr="7B209F1D">
        <w:t xml:space="preserve"> or interest in common.</w:t>
      </w:r>
    </w:p>
    <w:p w14:paraId="50D49386" w14:textId="77777777" w:rsidR="0045131B" w:rsidRDefault="0045131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p>
    <w:p w14:paraId="6F6EEEC0" w14:textId="67D9ED7F" w:rsidR="0045131B" w:rsidRPr="0045131B" w:rsidRDefault="0045131B"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7B209F1D">
        <w:rPr>
          <w:b/>
          <w:bCs/>
        </w:rPr>
        <w:t>Online Activit</w:t>
      </w:r>
      <w:r w:rsidR="694B0AA6" w:rsidRPr="7B209F1D">
        <w:rPr>
          <w:b/>
          <w:bCs/>
        </w:rPr>
        <w:t>i</w:t>
      </w:r>
      <w:r w:rsidRPr="7B209F1D">
        <w:rPr>
          <w:b/>
          <w:bCs/>
        </w:rPr>
        <w:t xml:space="preserve">es </w:t>
      </w:r>
      <w:r w:rsidR="00EE4431" w:rsidRPr="7B209F1D">
        <w:t>–</w:t>
      </w:r>
      <w:r w:rsidR="001044B0" w:rsidRPr="7B209F1D">
        <w:t xml:space="preserve"> </w:t>
      </w:r>
      <w:r w:rsidR="00EE4431" w:rsidRPr="7B209F1D">
        <w:t xml:space="preserve">engagement </w:t>
      </w:r>
      <w:r w:rsidR="00BB280C" w:rsidRPr="7B209F1D">
        <w:t>which citizens and communities interact with on a digital platform</w:t>
      </w:r>
      <w:r w:rsidR="001044B0" w:rsidRPr="7B209F1D">
        <w:t>,</w:t>
      </w:r>
      <w:r w:rsidR="00BB280C" w:rsidRPr="7B209F1D">
        <w:t xml:space="preserve"> </w:t>
      </w:r>
      <w:r w:rsidR="00EE4431" w:rsidRPr="7B209F1D">
        <w:t xml:space="preserve">including </w:t>
      </w:r>
      <w:r w:rsidR="00763C5D" w:rsidRPr="7B209F1D">
        <w:t>consultations, questionnaires, or surveys.</w:t>
      </w:r>
    </w:p>
    <w:p w14:paraId="47080011" w14:textId="77777777" w:rsidR="001D46CD" w:rsidRDefault="001D46CD" w:rsidP="7B209F1D">
      <w:pPr>
        <w:jc w:val="both"/>
      </w:pPr>
    </w:p>
    <w:p w14:paraId="63DC662A" w14:textId="5783F3A2" w:rsidR="003246EC" w:rsidRDefault="003246EC" w:rsidP="7B209F1D">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7B209F1D">
        <w:rPr>
          <w:b/>
          <w:bCs/>
          <w:shd w:val="clear" w:color="auto" w:fill="F2F2F2" w:themeFill="background1" w:themeFillShade="F2"/>
        </w:rPr>
        <w:t>Stakeholder</w:t>
      </w:r>
      <w:r w:rsidRPr="7B209F1D">
        <w:rPr>
          <w:shd w:val="clear" w:color="auto" w:fill="F2F2F2" w:themeFill="background1" w:themeFillShade="F2"/>
        </w:rPr>
        <w:t xml:space="preserve"> </w:t>
      </w:r>
      <w:r w:rsidR="001044B0" w:rsidRPr="7B209F1D">
        <w:rPr>
          <w:shd w:val="clear" w:color="auto" w:fill="F2F2F2" w:themeFill="background1" w:themeFillShade="F2"/>
        </w:rPr>
        <w:t>–</w:t>
      </w:r>
      <w:r w:rsidRPr="7B209F1D">
        <w:rPr>
          <w:shd w:val="clear" w:color="auto" w:fill="F2F2F2" w:themeFill="background1" w:themeFillShade="F2"/>
        </w:rPr>
        <w:t xml:space="preserve"> </w:t>
      </w:r>
      <w:r w:rsidR="001044B0" w:rsidRPr="7B209F1D">
        <w:rPr>
          <w:shd w:val="clear" w:color="auto" w:fill="F2F2F2" w:themeFill="background1" w:themeFillShade="F2"/>
        </w:rPr>
        <w:t>a citizen or community with an interest</w:t>
      </w:r>
      <w:r w:rsidR="00CA5913" w:rsidRPr="7B209F1D">
        <w:rPr>
          <w:shd w:val="clear" w:color="auto" w:fill="F2F2F2" w:themeFill="background1" w:themeFillShade="F2"/>
        </w:rPr>
        <w:t>, concern, or ‘stake’ in an issue, proposal, or decision</w:t>
      </w:r>
      <w:r w:rsidR="00CA5913" w:rsidRPr="7B209F1D">
        <w:t>.</w:t>
      </w:r>
    </w:p>
    <w:p w14:paraId="032A9438" w14:textId="77777777" w:rsidR="003246EC" w:rsidRDefault="003246EC" w:rsidP="7B209F1D"/>
    <w:p w14:paraId="411AC3F5" w14:textId="0489F857" w:rsidR="00014EE8" w:rsidRPr="00552F07" w:rsidRDefault="38C6ECB7" w:rsidP="00552F07">
      <w:pPr>
        <w:pStyle w:val="Heading1"/>
        <w:rPr>
          <w:rFonts w:ascii="Arial" w:hAnsi="Arial" w:cs="Arial"/>
          <w:b/>
          <w:bCs/>
          <w:color w:val="auto"/>
          <w:sz w:val="24"/>
          <w:szCs w:val="24"/>
        </w:rPr>
      </w:pPr>
      <w:bookmarkStart w:id="3" w:name="_Toc974605613"/>
      <w:r w:rsidRPr="5861C0E6">
        <w:rPr>
          <w:rFonts w:ascii="Arial" w:hAnsi="Arial" w:cs="Arial"/>
          <w:b/>
          <w:bCs/>
          <w:color w:val="auto"/>
          <w:sz w:val="24"/>
          <w:szCs w:val="24"/>
        </w:rPr>
        <w:t>INTRODUCTION</w:t>
      </w:r>
      <w:bookmarkEnd w:id="3"/>
    </w:p>
    <w:p w14:paraId="700602E9" w14:textId="7027C32A" w:rsidR="001867A5" w:rsidRDefault="001867A5" w:rsidP="0D191D4C"/>
    <w:p w14:paraId="19BDD782" w14:textId="6A2A92E1" w:rsidR="001867A5" w:rsidRDefault="7F3D9E4F" w:rsidP="0D191D4C">
      <w:pPr>
        <w:spacing w:line="259" w:lineRule="auto"/>
        <w:jc w:val="both"/>
        <w:rPr>
          <w:rFonts w:eastAsia="Arial"/>
        </w:rPr>
      </w:pPr>
      <w:r w:rsidRPr="07872634">
        <w:rPr>
          <w:rFonts w:eastAsia="Arial"/>
        </w:rPr>
        <w:t xml:space="preserve">Oxford City Council recognises that communities and citizens possess valuable insight, experience, and capabilities that should play a significant role in shaping local government decisions. </w:t>
      </w:r>
    </w:p>
    <w:p w14:paraId="684FFB6F" w14:textId="0A4FC54B" w:rsidR="001867A5" w:rsidRDefault="001867A5" w:rsidP="0D191D4C">
      <w:pPr>
        <w:spacing w:line="259" w:lineRule="auto"/>
        <w:jc w:val="both"/>
        <w:rPr>
          <w:rFonts w:eastAsia="Arial"/>
        </w:rPr>
      </w:pPr>
    </w:p>
    <w:p w14:paraId="29E4EE4C" w14:textId="00512D05" w:rsidR="001867A5" w:rsidRDefault="1E353692" w:rsidP="41A10A94">
      <w:pPr>
        <w:spacing w:line="259" w:lineRule="auto"/>
        <w:jc w:val="both"/>
        <w:rPr>
          <w:rFonts w:eastAsia="Arial"/>
        </w:rPr>
      </w:pPr>
      <w:r>
        <w:t>As such we are committed to nurturing strong, inclusive communities where active community and citizen involvement is at the forefront of our decision-making.</w:t>
      </w:r>
    </w:p>
    <w:p w14:paraId="11EF4E7D" w14:textId="11CD82DA" w:rsidR="0D191D4C" w:rsidRDefault="0D191D4C" w:rsidP="0D191D4C">
      <w:pPr>
        <w:spacing w:line="259" w:lineRule="auto"/>
        <w:jc w:val="both"/>
      </w:pPr>
    </w:p>
    <w:p w14:paraId="52A20E29" w14:textId="25904222" w:rsidR="1C6FD18B" w:rsidRDefault="1C6FD18B" w:rsidP="0D191D4C">
      <w:pPr>
        <w:jc w:val="both"/>
      </w:pPr>
      <w:r>
        <w:t>As a dynamic city where different community identities intersect, the Council recognises that effective engagement must reflect this complexity. While individual communities have their unique characters, they broadly relate to one or more of the following:</w:t>
      </w:r>
    </w:p>
    <w:p w14:paraId="11FA3757" w14:textId="77777777" w:rsidR="0D191D4C" w:rsidRDefault="0D191D4C" w:rsidP="0D191D4C">
      <w:pPr>
        <w:jc w:val="both"/>
      </w:pPr>
    </w:p>
    <w:p w14:paraId="2E46BE48" w14:textId="145AB1A6" w:rsidR="1C6FD18B" w:rsidRDefault="1C6FD18B" w:rsidP="0D191D4C">
      <w:pPr>
        <w:pStyle w:val="ListParagraph"/>
        <w:numPr>
          <w:ilvl w:val="0"/>
          <w:numId w:val="12"/>
        </w:numPr>
        <w:jc w:val="both"/>
      </w:pPr>
      <w:r>
        <w:t>Communities of Place – People living in specific geographic areas of the city.</w:t>
      </w:r>
    </w:p>
    <w:p w14:paraId="7F636104" w14:textId="77777777" w:rsidR="0D191D4C" w:rsidRDefault="0D191D4C" w:rsidP="0D191D4C">
      <w:pPr>
        <w:jc w:val="both"/>
      </w:pPr>
    </w:p>
    <w:p w14:paraId="321A2BBB" w14:textId="62983F2A" w:rsidR="1C6FD18B" w:rsidRDefault="1C6FD18B" w:rsidP="0D191D4C">
      <w:pPr>
        <w:pStyle w:val="ListParagraph"/>
        <w:numPr>
          <w:ilvl w:val="0"/>
          <w:numId w:val="12"/>
        </w:numPr>
        <w:jc w:val="both"/>
      </w:pPr>
      <w:r>
        <w:t>Communities of Identity - Groups who share commonality in their sense of self, such as ethnicity, age, disability, religion, or sexual orientation.</w:t>
      </w:r>
    </w:p>
    <w:p w14:paraId="301EA6A8" w14:textId="77777777" w:rsidR="0D191D4C" w:rsidRDefault="0D191D4C" w:rsidP="0D191D4C">
      <w:pPr>
        <w:jc w:val="both"/>
      </w:pPr>
    </w:p>
    <w:p w14:paraId="17B08577" w14:textId="10E9BDFE" w:rsidR="1C6FD18B" w:rsidRDefault="1C6FD18B" w:rsidP="0D191D4C">
      <w:pPr>
        <w:pStyle w:val="ListParagraph"/>
        <w:numPr>
          <w:ilvl w:val="0"/>
          <w:numId w:val="12"/>
        </w:numPr>
        <w:jc w:val="both"/>
      </w:pPr>
      <w:r>
        <w:t>Communities of Interest – Individuals connected by shared activities or interests, including students, business and academic visitors, Council tenants, allotment holders, cyclists, theatregoers and users of parks, roads, community buildings, or public transport.</w:t>
      </w:r>
    </w:p>
    <w:p w14:paraId="074F7670" w14:textId="34138A49" w:rsidR="0D191D4C" w:rsidRDefault="0D191D4C" w:rsidP="0D191D4C">
      <w:pPr>
        <w:spacing w:line="259" w:lineRule="auto"/>
        <w:jc w:val="both"/>
        <w:rPr>
          <w:rFonts w:eastAsia="Arial"/>
        </w:rPr>
      </w:pPr>
    </w:p>
    <w:p w14:paraId="24C3D517" w14:textId="243C462D" w:rsidR="0D191D4C" w:rsidRDefault="0D191D4C" w:rsidP="0D191D4C">
      <w:pPr>
        <w:spacing w:line="259" w:lineRule="auto"/>
        <w:jc w:val="both"/>
        <w:rPr>
          <w:rFonts w:eastAsia="Arial"/>
        </w:rPr>
      </w:pPr>
    </w:p>
    <w:p w14:paraId="550EF6ED" w14:textId="76ED3D6E" w:rsidR="001867A5" w:rsidRDefault="00E8571D" w:rsidP="41A10A94">
      <w:pPr>
        <w:spacing w:line="259" w:lineRule="auto"/>
        <w:jc w:val="both"/>
      </w:pPr>
      <w:r>
        <w:t xml:space="preserve">This </w:t>
      </w:r>
      <w:r w:rsidR="00C018D7">
        <w:t>Policy Statement seeks to deliver on that commitment through effective</w:t>
      </w:r>
      <w:r w:rsidR="0023725E">
        <w:t xml:space="preserve"> engagement, ensuring that all voices are heard and </w:t>
      </w:r>
      <w:r w:rsidR="006E6AEE">
        <w:t>facilitating participation in the Council’s decision-making processes</w:t>
      </w:r>
      <w:r w:rsidR="007F6CDD">
        <w:t>.</w:t>
      </w:r>
      <w:r w:rsidR="00B2377B">
        <w:t xml:space="preserve"> </w:t>
      </w:r>
    </w:p>
    <w:p w14:paraId="7CAEA1F2" w14:textId="03D19AD4" w:rsidR="001867A5" w:rsidRDefault="001867A5" w:rsidP="41A10A94">
      <w:pPr>
        <w:jc w:val="both"/>
      </w:pPr>
    </w:p>
    <w:p w14:paraId="1CE68679" w14:textId="6371904E" w:rsidR="001867A5" w:rsidRDefault="2E95D78E" w:rsidP="41A10A94">
      <w:pPr>
        <w:jc w:val="both"/>
      </w:pPr>
      <w:r>
        <w:t>This</w:t>
      </w:r>
      <w:r w:rsidR="26329748">
        <w:t xml:space="preserve"> </w:t>
      </w:r>
      <w:r w:rsidR="00275855">
        <w:t>involves working with communities and citizens to build supportive channels for dialogue and engagement</w:t>
      </w:r>
      <w:r w:rsidR="00F02134">
        <w:t xml:space="preserve"> to enhance </w:t>
      </w:r>
      <w:r w:rsidR="006237D8">
        <w:t xml:space="preserve">the relationship </w:t>
      </w:r>
      <w:r w:rsidR="00F1675E">
        <w:t xml:space="preserve">and </w:t>
      </w:r>
      <w:r w:rsidR="004519D5">
        <w:t xml:space="preserve">accountability </w:t>
      </w:r>
      <w:r w:rsidR="006237D8">
        <w:t xml:space="preserve">between </w:t>
      </w:r>
      <w:r w:rsidR="004519D5">
        <w:t xml:space="preserve">citizens, </w:t>
      </w:r>
      <w:r w:rsidR="005523CE">
        <w:t>communities,</w:t>
      </w:r>
      <w:r w:rsidR="006237D8">
        <w:t xml:space="preserve"> and the Counci</w:t>
      </w:r>
      <w:r w:rsidR="48B0AE99">
        <w:t>l, which</w:t>
      </w:r>
      <w:r w:rsidR="5F90139A">
        <w:t xml:space="preserve"> </w:t>
      </w:r>
      <w:r w:rsidR="6666D833">
        <w:t xml:space="preserve">in turn leads to </w:t>
      </w:r>
      <w:r w:rsidR="73E62F6F">
        <w:t>better and more sustainable outcomes.</w:t>
      </w:r>
    </w:p>
    <w:p w14:paraId="61606A4A" w14:textId="7BA2DD6B" w:rsidR="001867A5" w:rsidRDefault="001867A5" w:rsidP="41A10A94">
      <w:pPr>
        <w:jc w:val="both"/>
      </w:pPr>
    </w:p>
    <w:p w14:paraId="6ACF1505" w14:textId="03AE8439" w:rsidR="001867A5" w:rsidRDefault="001867A5" w:rsidP="41A10A94">
      <w:pPr>
        <w:jc w:val="both"/>
      </w:pPr>
      <w:r>
        <w:t xml:space="preserve">The Council </w:t>
      </w:r>
      <w:r w:rsidR="00756DE2">
        <w:t xml:space="preserve">has a longstanding commitment to engaging with citizens and communities about the decisions that affect </w:t>
      </w:r>
      <w:r w:rsidR="00F17B44">
        <w:t>them and</w:t>
      </w:r>
      <w:r w:rsidR="00756DE2">
        <w:t xml:space="preserve"> has adopted a proportionate and targeted approach to enable views from </w:t>
      </w:r>
      <w:r w:rsidR="5115B843">
        <w:t>diverse groups</w:t>
      </w:r>
      <w:r w:rsidR="00756DE2">
        <w:t xml:space="preserve"> and communities to feed into the decision-making process. </w:t>
      </w:r>
    </w:p>
    <w:p w14:paraId="5CEE673F" w14:textId="40FBC802" w:rsidR="00756DE2" w:rsidRDefault="00756DE2" w:rsidP="7B209F1D"/>
    <w:p w14:paraId="31BDFF25" w14:textId="4DF0A3AB" w:rsidR="2019183C" w:rsidRDefault="38C6ECB7" w:rsidP="0D191D4C">
      <w:pPr>
        <w:pStyle w:val="Heading1"/>
        <w:rPr>
          <w:rFonts w:ascii="Arial" w:hAnsi="Arial" w:cs="Arial"/>
          <w:b/>
          <w:bCs/>
          <w:color w:val="auto"/>
          <w:sz w:val="24"/>
          <w:szCs w:val="24"/>
        </w:rPr>
      </w:pPr>
      <w:bookmarkStart w:id="4" w:name="_Toc1960629387"/>
      <w:r w:rsidRPr="5861C0E6">
        <w:rPr>
          <w:rFonts w:ascii="Arial" w:hAnsi="Arial" w:cs="Arial"/>
          <w:b/>
          <w:bCs/>
          <w:color w:val="auto"/>
          <w:sz w:val="24"/>
          <w:szCs w:val="24"/>
        </w:rPr>
        <w:t>BACKGROUND &amp; OXFORD CONTEXT</w:t>
      </w:r>
      <w:bookmarkEnd w:id="4"/>
    </w:p>
    <w:p w14:paraId="41FD99DC" w14:textId="06EF6776" w:rsidR="0D191D4C" w:rsidRDefault="0D191D4C" w:rsidP="0D191D4C"/>
    <w:p w14:paraId="529F02EF" w14:textId="08E74673" w:rsidR="633B37A9" w:rsidRDefault="633B37A9" w:rsidP="2019183C">
      <w:pPr>
        <w:jc w:val="both"/>
      </w:pPr>
      <w:r>
        <w:t xml:space="preserve">Oxford is a </w:t>
      </w:r>
      <w:r w:rsidR="00DC3FA3">
        <w:t xml:space="preserve">vibrant and </w:t>
      </w:r>
      <w:r>
        <w:t>diverse city</w:t>
      </w:r>
      <w:r w:rsidR="00CD50DB">
        <w:t>,</w:t>
      </w:r>
      <w:r>
        <w:t xml:space="preserve"> </w:t>
      </w:r>
      <w:r w:rsidR="00CD50DB">
        <w:t>shaped by both unique opportunities and significant challenges. While its economy is powered by knowledge, innovation, and tourism, stark inequalities persist across the city. Oxford’s population continues to grow, yet it remains one of the least affordable places to live in the country. At the same time, the climate emergency presents an urgent and ongoing threat.</w:t>
      </w:r>
      <w:r w:rsidR="00D73F8A">
        <w:t xml:space="preserve"> </w:t>
      </w:r>
      <w:r>
        <w:t xml:space="preserve">Understanding Oxford’s citizens and communities </w:t>
      </w:r>
      <w:r w:rsidR="00412B15">
        <w:t>is</w:t>
      </w:r>
      <w:r>
        <w:t xml:space="preserve"> central to Oxford City Council’s approach to engagement; however, the ‘Oxford context’ is </w:t>
      </w:r>
      <w:r w:rsidR="00412B15">
        <w:t>outlined</w:t>
      </w:r>
      <w:r>
        <w:t xml:space="preserve"> in detail within other related Council documents (</w:t>
      </w:r>
      <w:r w:rsidR="19CE6A9D" w:rsidRPr="0D191D4C">
        <w:rPr>
          <w:i/>
          <w:iCs/>
        </w:rPr>
        <w:t>as referenced in</w:t>
      </w:r>
      <w:r w:rsidRPr="0D191D4C">
        <w:rPr>
          <w:i/>
          <w:iCs/>
        </w:rPr>
        <w:t xml:space="preserve"> </w:t>
      </w:r>
      <w:r w:rsidR="00EA1868" w:rsidRPr="0D191D4C">
        <w:rPr>
          <w:i/>
          <w:iCs/>
        </w:rPr>
        <w:t>the ‘</w:t>
      </w:r>
      <w:r w:rsidR="072A8778" w:rsidRPr="0D191D4C">
        <w:rPr>
          <w:i/>
          <w:iCs/>
        </w:rPr>
        <w:t>Policy Context</w:t>
      </w:r>
      <w:r w:rsidR="00EA1868" w:rsidRPr="0D191D4C">
        <w:rPr>
          <w:i/>
          <w:iCs/>
        </w:rPr>
        <w:t xml:space="preserve">’ </w:t>
      </w:r>
      <w:r w:rsidRPr="0D191D4C">
        <w:rPr>
          <w:i/>
          <w:iCs/>
        </w:rPr>
        <w:t>section</w:t>
      </w:r>
      <w:r>
        <w:t xml:space="preserve">). </w:t>
      </w:r>
      <w:r w:rsidR="001A166B">
        <w:t>To avoid duplication, t</w:t>
      </w:r>
      <w:r>
        <w:t xml:space="preserve">his information </w:t>
      </w:r>
      <w:r w:rsidR="001A166B">
        <w:t>is not repeated</w:t>
      </w:r>
      <w:r w:rsidR="00977008">
        <w:t xml:space="preserve"> </w:t>
      </w:r>
      <w:r>
        <w:t xml:space="preserve">in this Policy Statement. </w:t>
      </w:r>
    </w:p>
    <w:p w14:paraId="4AA2EE1C" w14:textId="77777777" w:rsidR="00A92DB2" w:rsidRDefault="00A92DB2" w:rsidP="2019183C">
      <w:pPr>
        <w:jc w:val="both"/>
      </w:pPr>
    </w:p>
    <w:p w14:paraId="301C4519" w14:textId="76BD23ED" w:rsidR="00AD4753" w:rsidRDefault="00AD4753" w:rsidP="7B209F1D">
      <w:pPr>
        <w:jc w:val="both"/>
      </w:pPr>
      <w:r w:rsidRPr="7B209F1D">
        <w:t xml:space="preserve">The Council </w:t>
      </w:r>
      <w:r w:rsidR="005511F9" w:rsidRPr="7B209F1D">
        <w:t xml:space="preserve">engages with citizens and communities </w:t>
      </w:r>
      <w:r w:rsidR="00543AB7" w:rsidRPr="7B209F1D">
        <w:t>in a variety of ways, including</w:t>
      </w:r>
      <w:r w:rsidR="001B696C" w:rsidRPr="7B209F1D">
        <w:t xml:space="preserve"> through</w:t>
      </w:r>
      <w:r w:rsidR="00543AB7" w:rsidRPr="7B209F1D">
        <w:t>:</w:t>
      </w:r>
    </w:p>
    <w:p w14:paraId="2143A4DF" w14:textId="77777777" w:rsidR="00543AB7" w:rsidRDefault="00543AB7" w:rsidP="7B209F1D">
      <w:pPr>
        <w:jc w:val="both"/>
      </w:pPr>
    </w:p>
    <w:p w14:paraId="40FF4EFE" w14:textId="354F4DFE" w:rsidR="00543AB7" w:rsidRDefault="00DD7214" w:rsidP="7B209F1D">
      <w:pPr>
        <w:pStyle w:val="ListParagraph"/>
        <w:numPr>
          <w:ilvl w:val="0"/>
          <w:numId w:val="6"/>
        </w:numPr>
        <w:jc w:val="both"/>
      </w:pPr>
      <w:r w:rsidRPr="3236DC90">
        <w:rPr>
          <w:b/>
          <w:bCs/>
        </w:rPr>
        <w:t>Oxford’s 48 City Councillors</w:t>
      </w:r>
      <w:r>
        <w:t xml:space="preserve"> – </w:t>
      </w:r>
      <w:r w:rsidR="00073E9C">
        <w:t>T</w:t>
      </w:r>
      <w:r>
        <w:t xml:space="preserve">hey provide a direct link between citizens and communities </w:t>
      </w:r>
      <w:r w:rsidR="00460186">
        <w:t xml:space="preserve">and the Council’s </w:t>
      </w:r>
      <w:r w:rsidR="00D91277">
        <w:t>decision-making mechanisms.</w:t>
      </w:r>
      <w:r w:rsidR="00F72C5D">
        <w:t xml:space="preserve"> One of City Councillors’ most important roles is </w:t>
      </w:r>
      <w:r w:rsidR="004F6ABB">
        <w:t>advocating and being a voice for citizens and communities</w:t>
      </w:r>
      <w:r w:rsidR="005F0CC4">
        <w:t>, which includes</w:t>
      </w:r>
      <w:r w:rsidR="009125EB">
        <w:t xml:space="preserve"> raising</w:t>
      </w:r>
      <w:r w:rsidR="178E2A6F">
        <w:t xml:space="preserve"> enquiries with Council officers on behalf of individual citi</w:t>
      </w:r>
      <w:r w:rsidR="0FCDC087">
        <w:t>zens.</w:t>
      </w:r>
    </w:p>
    <w:p w14:paraId="58E80881" w14:textId="35A35072" w:rsidR="00FE4B15" w:rsidRDefault="0658AF9D" w:rsidP="0D191D4C">
      <w:pPr>
        <w:numPr>
          <w:ilvl w:val="0"/>
          <w:numId w:val="6"/>
        </w:numPr>
        <w:jc w:val="both"/>
      </w:pPr>
      <w:r w:rsidRPr="0D191D4C">
        <w:rPr>
          <w:b/>
          <w:bCs/>
        </w:rPr>
        <w:t xml:space="preserve">Residents’ Panel </w:t>
      </w:r>
      <w:r>
        <w:t xml:space="preserve">– </w:t>
      </w:r>
      <w:r w:rsidR="00073E9C">
        <w:t>A</w:t>
      </w:r>
      <w:r>
        <w:t xml:space="preserve"> dedicated panel of </w:t>
      </w:r>
      <w:r w:rsidR="26A5E9AE">
        <w:t xml:space="preserve">Oxford </w:t>
      </w:r>
      <w:r>
        <w:t>residents</w:t>
      </w:r>
      <w:r w:rsidR="03C24138">
        <w:t xml:space="preserve">, </w:t>
      </w:r>
      <w:r w:rsidR="7FA7DD04">
        <w:t xml:space="preserve">broadly </w:t>
      </w:r>
      <w:r w:rsidR="03C24138">
        <w:t>representative of the city’s population,</w:t>
      </w:r>
      <w:r w:rsidR="4EEBE190">
        <w:t xml:space="preserve"> </w:t>
      </w:r>
      <w:r w:rsidR="002723D4">
        <w:t xml:space="preserve">that </w:t>
      </w:r>
      <w:r w:rsidR="35728052">
        <w:t xml:space="preserve">provides regular input on </w:t>
      </w:r>
      <w:r w:rsidR="002723D4">
        <w:t>a range of</w:t>
      </w:r>
      <w:r w:rsidR="35728052">
        <w:t xml:space="preserve"> issues and helps shape Council decisions and proposals.</w:t>
      </w:r>
    </w:p>
    <w:p w14:paraId="0A8BEBD3" w14:textId="49BCAA52" w:rsidR="1558DC98" w:rsidRDefault="1558DC98" w:rsidP="379D6A18">
      <w:pPr>
        <w:pStyle w:val="ListParagraph"/>
        <w:numPr>
          <w:ilvl w:val="0"/>
          <w:numId w:val="6"/>
        </w:numPr>
        <w:jc w:val="both"/>
      </w:pPr>
      <w:r w:rsidRPr="0D191D4C">
        <w:rPr>
          <w:b/>
          <w:bCs/>
        </w:rPr>
        <w:t xml:space="preserve">Annual Residents’ Survey </w:t>
      </w:r>
      <w:r>
        <w:t xml:space="preserve">– </w:t>
      </w:r>
      <w:r w:rsidR="00073E9C">
        <w:t>A</w:t>
      </w:r>
      <w:r>
        <w:t xml:space="preserve">n online survey </w:t>
      </w:r>
      <w:r w:rsidR="009E7E67">
        <w:t>sent</w:t>
      </w:r>
      <w:r w:rsidR="26D23C99">
        <w:t xml:space="preserve"> to the </w:t>
      </w:r>
      <w:r w:rsidR="009E7E67">
        <w:t>R</w:t>
      </w:r>
      <w:r w:rsidR="26D23C99">
        <w:t xml:space="preserve">esidents’ </w:t>
      </w:r>
      <w:r w:rsidR="009E7E67">
        <w:t>P</w:t>
      </w:r>
      <w:r w:rsidR="26D23C99">
        <w:t xml:space="preserve">anel </w:t>
      </w:r>
      <w:r w:rsidR="009E7E67">
        <w:t>each year</w:t>
      </w:r>
      <w:r w:rsidR="26D23C99">
        <w:t xml:space="preserve">, </w:t>
      </w:r>
      <w:r w:rsidR="510208AD">
        <w:t>giv</w:t>
      </w:r>
      <w:r w:rsidR="009E7E67">
        <w:t>ing</w:t>
      </w:r>
      <w:r w:rsidR="510208AD">
        <w:t xml:space="preserve"> Oxford residents the opportunity to </w:t>
      </w:r>
      <w:r w:rsidR="009E7E67">
        <w:t>share their views</w:t>
      </w:r>
      <w:r w:rsidR="00DB2C21">
        <w:t xml:space="preserve"> on</w:t>
      </w:r>
      <w:r w:rsidR="510208AD">
        <w:t xml:space="preserve"> </w:t>
      </w:r>
      <w:r w:rsidR="22C77BD3">
        <w:t xml:space="preserve">a range of topics including </w:t>
      </w:r>
      <w:r w:rsidR="510208AD">
        <w:t xml:space="preserve">how </w:t>
      </w:r>
      <w:r w:rsidR="00DB2C21">
        <w:t xml:space="preserve">the Council is performing and what they think </w:t>
      </w:r>
      <w:r w:rsidR="00066F16">
        <w:t>about the s</w:t>
      </w:r>
      <w:r w:rsidR="510208AD">
        <w:t xml:space="preserve">ervices we </w:t>
      </w:r>
      <w:r w:rsidR="00066F16">
        <w:t>provide.</w:t>
      </w:r>
    </w:p>
    <w:p w14:paraId="04609D7A" w14:textId="26548C8B" w:rsidR="005F4FDF" w:rsidRDefault="007C00C8" w:rsidP="7B209F1D">
      <w:pPr>
        <w:pStyle w:val="ListParagraph"/>
        <w:numPr>
          <w:ilvl w:val="0"/>
          <w:numId w:val="6"/>
        </w:numPr>
        <w:jc w:val="both"/>
      </w:pPr>
      <w:r w:rsidRPr="7B209F1D">
        <w:rPr>
          <w:b/>
          <w:bCs/>
        </w:rPr>
        <w:t>Online Consultation and Engagement Portal</w:t>
      </w:r>
      <w:r w:rsidR="005F4FDF" w:rsidRPr="7B209F1D">
        <w:rPr>
          <w:b/>
          <w:bCs/>
        </w:rPr>
        <w:t xml:space="preserve"> </w:t>
      </w:r>
      <w:r w:rsidR="005F4FDF" w:rsidRPr="7B209F1D">
        <w:t xml:space="preserve">– </w:t>
      </w:r>
      <w:r w:rsidR="00E07BBB">
        <w:t xml:space="preserve">A platform where </w:t>
      </w:r>
      <w:r w:rsidR="00316D88" w:rsidRPr="7B209F1D">
        <w:t xml:space="preserve">residents </w:t>
      </w:r>
      <w:r w:rsidR="005523CE" w:rsidRPr="7B209F1D">
        <w:t>can</w:t>
      </w:r>
      <w:r w:rsidR="00316D88" w:rsidRPr="7B209F1D">
        <w:t xml:space="preserve"> comment on </w:t>
      </w:r>
      <w:r w:rsidR="615EAC88" w:rsidRPr="7B209F1D">
        <w:t xml:space="preserve">Council </w:t>
      </w:r>
      <w:r w:rsidR="00316D88" w:rsidRPr="7B209F1D">
        <w:t>proposals and documents, including policy and strategy documents</w:t>
      </w:r>
      <w:r w:rsidR="00E07BBB">
        <w:t>, as well as the annual</w:t>
      </w:r>
      <w:r w:rsidR="003D582C" w:rsidRPr="7B209F1D">
        <w:t xml:space="preserve"> budget.</w:t>
      </w:r>
      <w:r w:rsidR="005F4FDF" w:rsidRPr="7B209F1D">
        <w:t xml:space="preserve"> </w:t>
      </w:r>
      <w:r w:rsidR="00C939FA">
        <w:t xml:space="preserve">This platform is also used by the </w:t>
      </w:r>
      <w:r w:rsidR="00A81E2C">
        <w:t>Council to</w:t>
      </w:r>
      <w:r w:rsidR="00C541F8">
        <w:t xml:space="preserve"> </w:t>
      </w:r>
      <w:r w:rsidR="008217E5">
        <w:t xml:space="preserve">publish engagement </w:t>
      </w:r>
      <w:r w:rsidR="00C939FA">
        <w:t>outcomes</w:t>
      </w:r>
      <w:r w:rsidR="008217E5">
        <w:t xml:space="preserve"> and share feedback with participants.</w:t>
      </w:r>
    </w:p>
    <w:p w14:paraId="09E8AC06" w14:textId="713AF4D2" w:rsidR="00040409" w:rsidRDefault="00EA3638" w:rsidP="7B209F1D">
      <w:pPr>
        <w:pStyle w:val="ListParagraph"/>
        <w:numPr>
          <w:ilvl w:val="0"/>
          <w:numId w:val="6"/>
        </w:numPr>
        <w:jc w:val="both"/>
      </w:pPr>
      <w:r w:rsidRPr="7B209F1D">
        <w:rPr>
          <w:b/>
          <w:bCs/>
        </w:rPr>
        <w:t xml:space="preserve">Planning Involvement </w:t>
      </w:r>
      <w:r w:rsidR="008B6865" w:rsidRPr="7B209F1D">
        <w:t xml:space="preserve">– </w:t>
      </w:r>
      <w:r w:rsidR="008103EB">
        <w:t>T</w:t>
      </w:r>
      <w:r w:rsidR="008B6865" w:rsidRPr="7B209F1D">
        <w:t xml:space="preserve">he </w:t>
      </w:r>
      <w:r w:rsidR="00863A6F" w:rsidRPr="008103EB">
        <w:rPr>
          <w:i/>
          <w:iCs/>
        </w:rPr>
        <w:t>Statement of Community Involvement</w:t>
      </w:r>
      <w:r w:rsidR="00CC0F3E" w:rsidRPr="7B209F1D">
        <w:t xml:space="preserve"> sets out </w:t>
      </w:r>
      <w:r w:rsidR="00627CEE" w:rsidRPr="7B209F1D">
        <w:t xml:space="preserve">the Council’s approach to involving the community and stakeholders in </w:t>
      </w:r>
      <w:r w:rsidR="00A61E5F">
        <w:t xml:space="preserve">shaping </w:t>
      </w:r>
      <w:r w:rsidR="00627CEE" w:rsidRPr="7B209F1D">
        <w:t xml:space="preserve">planning policy documents </w:t>
      </w:r>
      <w:r w:rsidR="00D30B9D" w:rsidRPr="7B209F1D">
        <w:t xml:space="preserve">and </w:t>
      </w:r>
      <w:r w:rsidR="004F23F5">
        <w:t xml:space="preserve">decisions on </w:t>
      </w:r>
      <w:r w:rsidR="00D30B9D" w:rsidRPr="7B209F1D">
        <w:t xml:space="preserve">development </w:t>
      </w:r>
      <w:r w:rsidR="00C95484">
        <w:t>proposals</w:t>
      </w:r>
      <w:r w:rsidR="00D30B9D" w:rsidRPr="7B209F1D">
        <w:t xml:space="preserve"> in Oxford.</w:t>
      </w:r>
    </w:p>
    <w:p w14:paraId="661E8E30" w14:textId="3D72430E" w:rsidR="00F802C1" w:rsidRDefault="00F802C1" w:rsidP="7B209F1D">
      <w:pPr>
        <w:pStyle w:val="ListParagraph"/>
        <w:numPr>
          <w:ilvl w:val="0"/>
          <w:numId w:val="6"/>
        </w:numPr>
        <w:jc w:val="both"/>
      </w:pPr>
      <w:r w:rsidRPr="0D191D4C">
        <w:rPr>
          <w:b/>
          <w:bCs/>
        </w:rPr>
        <w:t xml:space="preserve">Localities Team </w:t>
      </w:r>
      <w:r w:rsidR="00386673">
        <w:t>–</w:t>
      </w:r>
      <w:r>
        <w:t xml:space="preserve"> </w:t>
      </w:r>
      <w:r w:rsidR="00CF3F83">
        <w:t xml:space="preserve">A team that </w:t>
      </w:r>
      <w:r w:rsidR="00386673">
        <w:t xml:space="preserve">brings together the skills and experience of Council staff and partners to support residents, </w:t>
      </w:r>
      <w:r w:rsidR="00104C26">
        <w:t>address</w:t>
      </w:r>
      <w:r w:rsidR="00386673">
        <w:t xml:space="preserve"> local needs, reduce </w:t>
      </w:r>
      <w:r w:rsidR="21147D89">
        <w:t>inequalities,</w:t>
      </w:r>
      <w:r w:rsidR="00386673">
        <w:t xml:space="preserve"> and build strong, </w:t>
      </w:r>
      <w:r w:rsidR="0715DD7D">
        <w:t>resilient,</w:t>
      </w:r>
      <w:r w:rsidR="00386673">
        <w:t xml:space="preserve"> </w:t>
      </w:r>
      <w:r w:rsidR="00054A34">
        <w:t xml:space="preserve">and thriving </w:t>
      </w:r>
      <w:r w:rsidR="00386673">
        <w:t>communities</w:t>
      </w:r>
      <w:r w:rsidR="00054A34">
        <w:t>.</w:t>
      </w:r>
      <w:r w:rsidR="003360C5">
        <w:t xml:space="preserve"> This includes hosting fortnightly online learning sessions</w:t>
      </w:r>
      <w:r w:rsidR="00633C69">
        <w:t xml:space="preserve"> open to community groups and organisations that support</w:t>
      </w:r>
      <w:r w:rsidR="00104C26">
        <w:t xml:space="preserve"> local</w:t>
      </w:r>
      <w:r w:rsidR="00633C69">
        <w:t xml:space="preserve"> people.</w:t>
      </w:r>
    </w:p>
    <w:p w14:paraId="6CD8E98E" w14:textId="397520F3" w:rsidR="00104C26" w:rsidRDefault="00104C26" w:rsidP="00104C26">
      <w:pPr>
        <w:numPr>
          <w:ilvl w:val="0"/>
          <w:numId w:val="6"/>
        </w:numPr>
        <w:jc w:val="both"/>
      </w:pPr>
      <w:r w:rsidRPr="7B209F1D">
        <w:rPr>
          <w:b/>
          <w:bCs/>
        </w:rPr>
        <w:t xml:space="preserve">Public involvement at Council meetings – </w:t>
      </w:r>
      <w:r w:rsidR="00256C3C">
        <w:t>C</w:t>
      </w:r>
      <w:r w:rsidRPr="7B209F1D">
        <w:t>ommunity representatives and individual citizens</w:t>
      </w:r>
      <w:r w:rsidR="00256C3C">
        <w:t xml:space="preserve"> can</w:t>
      </w:r>
      <w:r w:rsidRPr="7B209F1D">
        <w:t xml:space="preserve"> </w:t>
      </w:r>
      <w:r w:rsidR="00790EDA">
        <w:t>regularly speak at</w:t>
      </w:r>
      <w:r w:rsidRPr="7B209F1D">
        <w:t xml:space="preserve"> Full Council, Cabinet, Planning Committee, and other meetings of Elected Members,</w:t>
      </w:r>
      <w:r w:rsidR="00607642">
        <w:t xml:space="preserve"> using their right</w:t>
      </w:r>
      <w:r w:rsidRPr="7B209F1D">
        <w:t xml:space="preserve"> to raise issues and</w:t>
      </w:r>
      <w:r w:rsidR="00607642">
        <w:t xml:space="preserve"> share their views directly with decision-makers.</w:t>
      </w:r>
    </w:p>
    <w:p w14:paraId="6B762677" w14:textId="68FAC37C" w:rsidR="00232024" w:rsidRDefault="00460276" w:rsidP="00B22786">
      <w:pPr>
        <w:numPr>
          <w:ilvl w:val="0"/>
          <w:numId w:val="6"/>
        </w:numPr>
        <w:jc w:val="both"/>
      </w:pPr>
      <w:r>
        <w:rPr>
          <w:b/>
          <w:bCs/>
        </w:rPr>
        <w:t xml:space="preserve">Tenant, Leaseholder, and Shared Ownership Engagement – </w:t>
      </w:r>
      <w:r w:rsidRPr="00460276">
        <w:t>recent national</w:t>
      </w:r>
      <w:r w:rsidR="00232024">
        <w:t xml:space="preserve"> reforms, including the </w:t>
      </w:r>
      <w:r w:rsidR="00232024" w:rsidRPr="0D191D4C">
        <w:rPr>
          <w:rStyle w:val="Strong"/>
        </w:rPr>
        <w:t>Social Housing (Regulation) Act 2023</w:t>
      </w:r>
      <w:r w:rsidR="00232024">
        <w:t xml:space="preserve"> and the </w:t>
      </w:r>
      <w:r w:rsidR="00232024" w:rsidRPr="0D191D4C">
        <w:rPr>
          <w:rStyle w:val="Strong"/>
        </w:rPr>
        <w:t>Consumer Standards (2024)</w:t>
      </w:r>
      <w:r w:rsidR="00232024">
        <w:t>, have placed greater emphasis on empowering tenants, leaseholders, and shared owners. These reforms make it a statutory requirement for councils to involve residents in shaping the housing services they receive and to be accountable for their performance.</w:t>
      </w:r>
    </w:p>
    <w:p w14:paraId="2EAE846A" w14:textId="77777777" w:rsidR="00232024" w:rsidRDefault="00232024" w:rsidP="00232024">
      <w:pPr>
        <w:pStyle w:val="ListParagraph"/>
        <w:jc w:val="both"/>
      </w:pPr>
    </w:p>
    <w:p w14:paraId="781AA09C" w14:textId="29A8E9C2" w:rsidR="00232024" w:rsidRDefault="00232024" w:rsidP="00232024">
      <w:pPr>
        <w:pStyle w:val="ListParagraph"/>
        <w:jc w:val="both"/>
      </w:pPr>
      <w:r>
        <w:t xml:space="preserve">Oxford City Council’s </w:t>
      </w:r>
      <w:r w:rsidRPr="0D191D4C">
        <w:rPr>
          <w:rStyle w:val="Strong"/>
        </w:rPr>
        <w:t>Tenant Involvement Team</w:t>
      </w:r>
      <w:r>
        <w:t xml:space="preserve"> ensures compliance with these requirements</w:t>
      </w:r>
      <w:r w:rsidR="530B7537">
        <w:t>,</w:t>
      </w:r>
      <w:r>
        <w:t xml:space="preserve"> promot</w:t>
      </w:r>
      <w:r w:rsidR="2AC2B452">
        <w:t>ing</w:t>
      </w:r>
      <w:r>
        <w:t xml:space="preserve"> meaningful engagement</w:t>
      </w:r>
      <w:r w:rsidR="7A20ADA5">
        <w:t xml:space="preserve"> with tenants, shared </w:t>
      </w:r>
      <w:r w:rsidR="79106C1B">
        <w:t>owners,</w:t>
      </w:r>
      <w:r w:rsidR="7A20ADA5">
        <w:t xml:space="preserve"> and leaseholders</w:t>
      </w:r>
      <w:r>
        <w:t xml:space="preserve"> through a range of channels and initiatives:</w:t>
      </w:r>
    </w:p>
    <w:p w14:paraId="3090732A" w14:textId="77777777" w:rsidR="00232024" w:rsidRDefault="00232024" w:rsidP="00232024">
      <w:pPr>
        <w:pStyle w:val="ListParagraph"/>
        <w:jc w:val="both"/>
      </w:pPr>
    </w:p>
    <w:p w14:paraId="309EDAB7" w14:textId="77777777" w:rsidR="00232024" w:rsidRDefault="00232024" w:rsidP="00232024">
      <w:pPr>
        <w:pStyle w:val="ListParagraph"/>
        <w:numPr>
          <w:ilvl w:val="1"/>
          <w:numId w:val="6"/>
        </w:numPr>
        <w:jc w:val="both"/>
      </w:pPr>
      <w:r w:rsidRPr="0D191D4C">
        <w:rPr>
          <w:rStyle w:val="Strong"/>
        </w:rPr>
        <w:t xml:space="preserve">Independent Tenant Satisfaction Survey </w:t>
      </w:r>
      <w:r w:rsidRPr="0D191D4C">
        <w:rPr>
          <w:rStyle w:val="Strong"/>
          <w:b w:val="0"/>
          <w:bCs w:val="0"/>
        </w:rPr>
        <w:t>-</w:t>
      </w:r>
      <w:r w:rsidRPr="0D191D4C">
        <w:rPr>
          <w:rStyle w:val="Strong"/>
        </w:rPr>
        <w:t xml:space="preserve"> </w:t>
      </w:r>
      <w:r>
        <w:t>Conducted annually with an external partner, this survey measures tenant satisfaction and enables the Council to benchmark performance against similar authorities.</w:t>
      </w:r>
    </w:p>
    <w:p w14:paraId="59396AC2" w14:textId="449268D2" w:rsidR="00232024" w:rsidRDefault="00232024" w:rsidP="00232024">
      <w:pPr>
        <w:pStyle w:val="ListParagraph"/>
        <w:numPr>
          <w:ilvl w:val="1"/>
          <w:numId w:val="6"/>
        </w:numPr>
      </w:pPr>
      <w:r w:rsidRPr="215E46FE">
        <w:rPr>
          <w:b/>
          <w:bCs/>
        </w:rPr>
        <w:t xml:space="preserve">Tenants in Touch </w:t>
      </w:r>
      <w:r>
        <w:t xml:space="preserve">– A quarterly </w:t>
      </w:r>
      <w:r w:rsidR="0022708B">
        <w:t xml:space="preserve">publication </w:t>
      </w:r>
      <w:r>
        <w:t>for tenants, focused on topics that matter most to residents and designed to keep them informed and engaged.</w:t>
      </w:r>
    </w:p>
    <w:p w14:paraId="0AC16ADF" w14:textId="77777777" w:rsidR="00232024" w:rsidRPr="001B1363" w:rsidRDefault="00232024" w:rsidP="00232024">
      <w:pPr>
        <w:pStyle w:val="ListParagraph"/>
        <w:numPr>
          <w:ilvl w:val="1"/>
          <w:numId w:val="6"/>
        </w:numPr>
        <w:jc w:val="both"/>
      </w:pPr>
      <w:r w:rsidRPr="0D191D4C">
        <w:rPr>
          <w:b/>
          <w:bCs/>
        </w:rPr>
        <w:t>Annual Report</w:t>
      </w:r>
      <w:r>
        <w:t xml:space="preserve"> – Produced each year to report on landlord services, including key statistics and compliance with the Consumer Standards and housing regulations.</w:t>
      </w:r>
    </w:p>
    <w:p w14:paraId="392DB10C" w14:textId="77777777" w:rsidR="00232024" w:rsidRDefault="00232024" w:rsidP="00232024">
      <w:pPr>
        <w:pStyle w:val="ListParagraph"/>
        <w:numPr>
          <w:ilvl w:val="1"/>
          <w:numId w:val="6"/>
        </w:numPr>
        <w:jc w:val="both"/>
      </w:pPr>
      <w:r w:rsidRPr="0D191D4C">
        <w:rPr>
          <w:b/>
          <w:bCs/>
        </w:rPr>
        <w:t>Focus Groups</w:t>
      </w:r>
      <w:r>
        <w:t xml:space="preserve"> – Regular sessions with tenants, leaseholders, and shared owners to explore service improvements and identify priorities, which are central to improving customer experience and value for money.</w:t>
      </w:r>
    </w:p>
    <w:p w14:paraId="28EDF081" w14:textId="77777777" w:rsidR="00232024" w:rsidRDefault="00232024" w:rsidP="00232024">
      <w:pPr>
        <w:pStyle w:val="ListParagraph"/>
        <w:numPr>
          <w:ilvl w:val="1"/>
          <w:numId w:val="6"/>
        </w:numPr>
        <w:jc w:val="both"/>
      </w:pPr>
      <w:r w:rsidRPr="0D191D4C">
        <w:rPr>
          <w:b/>
          <w:bCs/>
        </w:rPr>
        <w:t>Task and Finish Reviews</w:t>
      </w:r>
      <w:r>
        <w:t xml:space="preserve"> – Short-term reviews requested by service managers to investigate specific concerns and help enhance service delivery.</w:t>
      </w:r>
    </w:p>
    <w:p w14:paraId="4B3041DB" w14:textId="77777777" w:rsidR="00232024" w:rsidRDefault="00232024" w:rsidP="00232024">
      <w:pPr>
        <w:pStyle w:val="ListParagraph"/>
        <w:numPr>
          <w:ilvl w:val="1"/>
          <w:numId w:val="6"/>
        </w:numPr>
        <w:jc w:val="both"/>
      </w:pPr>
      <w:r w:rsidRPr="0D191D4C">
        <w:rPr>
          <w:b/>
          <w:bCs/>
        </w:rPr>
        <w:t>Resident Ambassador Meetings</w:t>
      </w:r>
      <w:r>
        <w:t xml:space="preserve"> – Monthly meetings with a core group of engaged residents to discuss reports, outcomes, and ongoing challenges.</w:t>
      </w:r>
    </w:p>
    <w:p w14:paraId="155B42DB" w14:textId="681052EF" w:rsidR="00232024" w:rsidRDefault="00232024" w:rsidP="00232024">
      <w:pPr>
        <w:pStyle w:val="ListParagraph"/>
        <w:numPr>
          <w:ilvl w:val="1"/>
          <w:numId w:val="6"/>
        </w:numPr>
        <w:jc w:val="both"/>
      </w:pPr>
      <w:r w:rsidRPr="0D191D4C">
        <w:rPr>
          <w:b/>
          <w:bCs/>
        </w:rPr>
        <w:t>‘You Said, We Did’ Reporting</w:t>
      </w:r>
      <w:r>
        <w:t xml:space="preserve"> – Collation and communication of engagement results across service areas, ensuring transparency, accountability, and follow-through on resident feedback</w:t>
      </w:r>
      <w:r w:rsidR="00ED194E">
        <w:t xml:space="preserve"> </w:t>
      </w:r>
      <w:r w:rsidR="00ED194E" w:rsidRPr="00ED194E">
        <w:t>— thereby fostering stronger trust and confidence among residents in the Council’s decision-making processes.</w:t>
      </w:r>
    </w:p>
    <w:p w14:paraId="69208C4B" w14:textId="77777777" w:rsidR="00232024" w:rsidRDefault="00232024" w:rsidP="00232024">
      <w:pPr>
        <w:pStyle w:val="ListParagraph"/>
        <w:numPr>
          <w:ilvl w:val="1"/>
          <w:numId w:val="6"/>
        </w:numPr>
        <w:jc w:val="both"/>
      </w:pPr>
      <w:r w:rsidRPr="0D191D4C">
        <w:rPr>
          <w:b/>
          <w:bCs/>
        </w:rPr>
        <w:t>Resident Recruitment and Outreach</w:t>
      </w:r>
      <w:r>
        <w:t xml:space="preserve"> – Ongoing efforts to involve more tenants and leaseholders in engagement activities. Resident involvement is seen as essential to improving Council services.</w:t>
      </w:r>
    </w:p>
    <w:p w14:paraId="7401966B" w14:textId="55D532C7" w:rsidR="00127A13" w:rsidRDefault="00232024" w:rsidP="0083731C">
      <w:pPr>
        <w:pStyle w:val="ListParagraph"/>
        <w:numPr>
          <w:ilvl w:val="1"/>
          <w:numId w:val="6"/>
        </w:numPr>
      </w:pPr>
      <w:r w:rsidRPr="0D191D4C">
        <w:rPr>
          <w:b/>
          <w:bCs/>
        </w:rPr>
        <w:t>Community Engagement Activities</w:t>
      </w:r>
      <w:r>
        <w:t xml:space="preserve"> – The team also supports and delivers wider engagement events such as roadshows and drop-ins, often prioritised through internal service commissioning.</w:t>
      </w:r>
    </w:p>
    <w:p w14:paraId="5748BEF1" w14:textId="58A12F4D" w:rsidR="00DB32FF" w:rsidRPr="00552F07" w:rsidRDefault="38C6ECB7" w:rsidP="0D191D4C">
      <w:pPr>
        <w:pStyle w:val="Heading1"/>
        <w:jc w:val="both"/>
        <w:rPr>
          <w:rFonts w:ascii="Arial" w:hAnsi="Arial" w:cs="Arial"/>
          <w:b/>
          <w:bCs/>
          <w:color w:val="auto"/>
          <w:sz w:val="24"/>
          <w:szCs w:val="24"/>
        </w:rPr>
      </w:pPr>
      <w:bookmarkStart w:id="5" w:name="_Toc1592721833"/>
      <w:r w:rsidRPr="5861C0E6">
        <w:rPr>
          <w:rFonts w:ascii="Arial" w:hAnsi="Arial" w:cs="Arial"/>
          <w:b/>
          <w:bCs/>
          <w:color w:val="auto"/>
          <w:sz w:val="24"/>
          <w:szCs w:val="24"/>
        </w:rPr>
        <w:t>PRINCIPLES OF ENGAGEMENT</w:t>
      </w:r>
      <w:bookmarkEnd w:id="5"/>
    </w:p>
    <w:p w14:paraId="1389EAF1" w14:textId="6BD64938" w:rsidR="007D24B1" w:rsidRDefault="008B444D" w:rsidP="7B209F1D">
      <w:pPr>
        <w:shd w:val="clear" w:color="auto" w:fill="FFFFFF" w:themeFill="background1"/>
        <w:spacing w:after="300"/>
        <w:jc w:val="both"/>
      </w:pPr>
      <w:r>
        <w:t>The</w:t>
      </w:r>
      <w:r w:rsidR="5D176D71">
        <w:t xml:space="preserve"> </w:t>
      </w:r>
      <w:r>
        <w:t xml:space="preserve">Council’s principles of citizen and community engagement </w:t>
      </w:r>
      <w:r w:rsidR="00224128">
        <w:t>are designed</w:t>
      </w:r>
      <w:r w:rsidR="007833FB">
        <w:t xml:space="preserve"> to be </w:t>
      </w:r>
      <w:r w:rsidR="00666CE6">
        <w:t>broad</w:t>
      </w:r>
      <w:r w:rsidR="00A5321A">
        <w:t xml:space="preserve"> and flexible</w:t>
      </w:r>
      <w:r w:rsidR="00666CE6">
        <w:t xml:space="preserve"> enough to reflect the diversity of</w:t>
      </w:r>
      <w:r w:rsidR="0009280B">
        <w:t xml:space="preserve"> Oxford, </w:t>
      </w:r>
      <w:r w:rsidR="00A5321A">
        <w:t>ensuring</w:t>
      </w:r>
      <w:r w:rsidR="0009280B">
        <w:t xml:space="preserve"> that engagement activit</w:t>
      </w:r>
      <w:r w:rsidR="00CD0093">
        <w:t>ies are</w:t>
      </w:r>
      <w:r w:rsidR="0009280B">
        <w:t xml:space="preserve"> as inclusive as possible.</w:t>
      </w:r>
      <w:r w:rsidR="00200AE7">
        <w:t xml:space="preserve"> </w:t>
      </w:r>
      <w:r w:rsidR="05C0C6BF">
        <w:t xml:space="preserve">This includes </w:t>
      </w:r>
      <w:r w:rsidR="004A74BC">
        <w:t>making sure our consultation and engagement practices fully consider</w:t>
      </w:r>
      <w:r w:rsidR="00496C6F">
        <w:t xml:space="preserve"> individuals</w:t>
      </w:r>
      <w:r w:rsidR="007D24B1">
        <w:t>’</w:t>
      </w:r>
      <w:r w:rsidR="00496C6F">
        <w:t xml:space="preserve"> protected </w:t>
      </w:r>
      <w:r w:rsidR="2B352E86">
        <w:t>characteristics</w:t>
      </w:r>
      <w:r w:rsidR="007D24B1">
        <w:t>,</w:t>
      </w:r>
      <w:r w:rsidR="2B352E86">
        <w:t xml:space="preserve"> as defined </w:t>
      </w:r>
      <w:r w:rsidR="007D24B1">
        <w:t>by</w:t>
      </w:r>
      <w:r w:rsidR="2B352E86">
        <w:t xml:space="preserve"> the Equalit</w:t>
      </w:r>
      <w:r w:rsidR="5E32BDEA">
        <w:t>y</w:t>
      </w:r>
      <w:r w:rsidR="2B352E86">
        <w:t xml:space="preserve"> Act 2010</w:t>
      </w:r>
      <w:r w:rsidR="1B759ED1">
        <w:t xml:space="preserve"> and the Public Sector Equality Duty</w:t>
      </w:r>
      <w:r w:rsidR="13ED9F71">
        <w:t xml:space="preserve">. </w:t>
      </w:r>
    </w:p>
    <w:p w14:paraId="447376ED" w14:textId="6ABB1D70" w:rsidR="00A73BCE" w:rsidRPr="00127A13" w:rsidRDefault="00A73BCE" w:rsidP="00CC39D4">
      <w:pPr>
        <w:shd w:val="clear" w:color="auto" w:fill="FFFFFF" w:themeFill="background1"/>
        <w:spacing w:after="300"/>
        <w:jc w:val="both"/>
      </w:pPr>
      <w:r>
        <w:t>The Council recognises co-production as a best-practice model for deep and meaningful engagement, where residents, service users, and community groups are treated as equal partners in the design, delivery, and evaluation of services. Unlike traditional consultation, co-production involves continuous collaboration throughout a project’s lifecycle</w:t>
      </w:r>
      <w:r w:rsidR="5C1639C2">
        <w:t xml:space="preserve"> </w:t>
      </w:r>
      <w:r w:rsidR="5C1639C2" w:rsidRPr="359FFCF8">
        <w:rPr>
          <w:color w:val="00B050"/>
        </w:rPr>
        <w:t>and includes such methods as co-design workshops,</w:t>
      </w:r>
      <w:r w:rsidR="6B82EBB8" w:rsidRPr="359FFCF8">
        <w:rPr>
          <w:color w:val="00B050"/>
        </w:rPr>
        <w:t xml:space="preserve"> </w:t>
      </w:r>
      <w:r w:rsidR="5C1639C2" w:rsidRPr="359FFCF8">
        <w:rPr>
          <w:color w:val="00B050"/>
        </w:rPr>
        <w:t xml:space="preserve">lived experience forums, </w:t>
      </w:r>
      <w:r w:rsidR="7B6F8925" w:rsidRPr="359FFCF8">
        <w:rPr>
          <w:color w:val="00B050"/>
        </w:rPr>
        <w:t>community</w:t>
      </w:r>
      <w:r w:rsidR="5C1639C2" w:rsidRPr="359FFCF8">
        <w:rPr>
          <w:color w:val="00B050"/>
        </w:rPr>
        <w:t xml:space="preserve"> led research and r</w:t>
      </w:r>
      <w:r w:rsidR="15A845E7" w:rsidRPr="359FFCF8">
        <w:rPr>
          <w:color w:val="00B050"/>
        </w:rPr>
        <w:t xml:space="preserve">esident evaluation </w:t>
      </w:r>
      <w:r w:rsidR="6A288DEC" w:rsidRPr="359FFCF8">
        <w:rPr>
          <w:color w:val="00B050"/>
        </w:rPr>
        <w:t>boards.</w:t>
      </w:r>
      <w:r>
        <w:t xml:space="preserve"> This approach strengthens trust, ensures services are shaped by lived experiences, and supports more inclusive and responsive outcomes—particularly for those who may face greater barriers to engagement. </w:t>
      </w:r>
      <w:r w:rsidR="4F2A3E04" w:rsidRPr="359FFCF8">
        <w:rPr>
          <w:color w:val="00B050"/>
        </w:rPr>
        <w:t xml:space="preserve">It is about finding out what is important to our </w:t>
      </w:r>
      <w:r w:rsidR="71DB5DD1" w:rsidRPr="359FFCF8">
        <w:rPr>
          <w:color w:val="00B050"/>
        </w:rPr>
        <w:t>resident</w:t>
      </w:r>
      <w:r w:rsidR="4F2A3E04" w:rsidRPr="359FFCF8">
        <w:rPr>
          <w:color w:val="00B050"/>
        </w:rPr>
        <w:t>s, focusing on their strengths and talents</w:t>
      </w:r>
      <w:r w:rsidR="078D6652" w:rsidRPr="359FFCF8">
        <w:rPr>
          <w:color w:val="00B050"/>
        </w:rPr>
        <w:t xml:space="preserve"> and enabling them to do what they do best via the co-production process.</w:t>
      </w:r>
      <w:r w:rsidR="4F2A3E04" w:rsidRPr="359FFCF8">
        <w:rPr>
          <w:color w:val="00B050"/>
        </w:rPr>
        <w:t xml:space="preserve"> </w:t>
      </w:r>
      <w:r>
        <w:t>Embedding co-production within our engagement approach aligns with the Council’s commitment to the Thriving Communities Strategy</w:t>
      </w:r>
      <w:r w:rsidR="64A45912">
        <w:t xml:space="preserve">, </w:t>
      </w:r>
      <w:r w:rsidR="64A45912" w:rsidRPr="359FFCF8">
        <w:rPr>
          <w:color w:val="00B050"/>
        </w:rPr>
        <w:t>its ethos</w:t>
      </w:r>
      <w:r w:rsidR="41267AE1" w:rsidRPr="359FFCF8">
        <w:rPr>
          <w:color w:val="00B050"/>
        </w:rPr>
        <w:t xml:space="preserve"> and practice</w:t>
      </w:r>
      <w:r w:rsidR="64A45912" w:rsidRPr="359FFCF8">
        <w:rPr>
          <w:color w:val="00B050"/>
        </w:rPr>
        <w:t xml:space="preserve"> as a local authority of sanctuary,</w:t>
      </w:r>
      <w:r w:rsidRPr="359FFCF8">
        <w:rPr>
          <w:color w:val="9ABB59"/>
        </w:rPr>
        <w:t xml:space="preserve"> </w:t>
      </w:r>
      <w:r>
        <w:t>and recent national standards for tenant involvement, such as the Social Housing (Regulation) Act and the Consumer Standards.</w:t>
      </w:r>
    </w:p>
    <w:p w14:paraId="2876356A" w14:textId="110D5BCB" w:rsidR="00057FAE" w:rsidRPr="00B83C95" w:rsidRDefault="00183182" w:rsidP="7B209F1D">
      <w:pPr>
        <w:shd w:val="clear" w:color="auto" w:fill="FFFFFF" w:themeFill="background1"/>
        <w:spacing w:after="300"/>
        <w:jc w:val="both"/>
        <w:rPr>
          <w:rFonts w:eastAsia="Arial"/>
        </w:rPr>
      </w:pPr>
      <w:r>
        <w:t>T</w:t>
      </w:r>
      <w:r w:rsidR="13ED9F71">
        <w:t xml:space="preserve">he Council has </w:t>
      </w:r>
      <w:r w:rsidR="007D24B1">
        <w:t xml:space="preserve">also </w:t>
      </w:r>
      <w:r w:rsidR="13ED9F71">
        <w:t xml:space="preserve">voluntarily adopted the </w:t>
      </w:r>
      <w:r w:rsidR="30B417E1">
        <w:t>S</w:t>
      </w:r>
      <w:r w:rsidR="13ED9F71">
        <w:t>ocio</w:t>
      </w:r>
      <w:r w:rsidR="2AE18967">
        <w:t>-</w:t>
      </w:r>
      <w:r w:rsidR="2735EE63">
        <w:t>E</w:t>
      </w:r>
      <w:r w:rsidR="13ED9F71">
        <w:t xml:space="preserve">conomic </w:t>
      </w:r>
      <w:r w:rsidR="4D3CF437">
        <w:t>D</w:t>
      </w:r>
      <w:r w:rsidR="13ED9F71">
        <w:t xml:space="preserve">uty under the </w:t>
      </w:r>
      <w:r w:rsidR="00137AEA">
        <w:t>Act</w:t>
      </w:r>
      <w:r w:rsidR="00E10FF9">
        <w:t>.</w:t>
      </w:r>
      <w:r w:rsidR="32EA6C9F">
        <w:t xml:space="preserve"> </w:t>
      </w:r>
      <w:r w:rsidR="00E10FF9">
        <w:t>This means that</w:t>
      </w:r>
      <w:r>
        <w:t xml:space="preserve"> decision-makers must</w:t>
      </w:r>
      <w:r w:rsidR="15922733">
        <w:t xml:space="preserve"> </w:t>
      </w:r>
      <w:r w:rsidR="26370AF2">
        <w:t>consider</w:t>
      </w:r>
      <w:r w:rsidR="13ED9F71" w:rsidRPr="236DB2DF">
        <w:rPr>
          <w:rFonts w:eastAsia="Arial"/>
        </w:rPr>
        <w:t xml:space="preserve"> </w:t>
      </w:r>
      <w:r w:rsidR="00E10FF9" w:rsidRPr="236DB2DF">
        <w:rPr>
          <w:rFonts w:eastAsia="Arial"/>
        </w:rPr>
        <w:t xml:space="preserve">relevant </w:t>
      </w:r>
      <w:r w:rsidR="13ED9F71" w:rsidRPr="236DB2DF">
        <w:rPr>
          <w:rFonts w:eastAsia="Arial"/>
        </w:rPr>
        <w:t>evidence</w:t>
      </w:r>
      <w:r w:rsidR="00057FAE" w:rsidRPr="236DB2DF">
        <w:rPr>
          <w:rFonts w:eastAsia="Arial"/>
        </w:rPr>
        <w:t xml:space="preserve"> and</w:t>
      </w:r>
      <w:r w:rsidR="13ED9F71" w:rsidRPr="236DB2DF">
        <w:rPr>
          <w:rFonts w:eastAsia="Arial"/>
        </w:rPr>
        <w:t xml:space="preserve"> </w:t>
      </w:r>
      <w:r w:rsidR="09383CDE" w:rsidRPr="236DB2DF">
        <w:rPr>
          <w:rFonts w:eastAsia="Arial"/>
        </w:rPr>
        <w:t xml:space="preserve">the </w:t>
      </w:r>
      <w:r w:rsidR="13ED9F71" w:rsidRPr="236DB2DF">
        <w:rPr>
          <w:rFonts w:eastAsia="Arial"/>
        </w:rPr>
        <w:t xml:space="preserve">potential impact </w:t>
      </w:r>
      <w:r w:rsidR="5FA34832" w:rsidRPr="236DB2DF">
        <w:rPr>
          <w:rFonts w:eastAsia="Arial"/>
        </w:rPr>
        <w:t xml:space="preserve">of </w:t>
      </w:r>
      <w:r w:rsidR="0031465F" w:rsidRPr="236DB2DF">
        <w:rPr>
          <w:rFonts w:eastAsia="Arial"/>
        </w:rPr>
        <w:t>strategic decisions, with the aim</w:t>
      </w:r>
      <w:r w:rsidR="00B83C95" w:rsidRPr="236DB2DF">
        <w:rPr>
          <w:rFonts w:eastAsia="Arial"/>
        </w:rPr>
        <w:t xml:space="preserve"> of reducing inequalities that arise </w:t>
      </w:r>
      <w:r w:rsidR="002A20E3" w:rsidRPr="236DB2DF">
        <w:rPr>
          <w:rFonts w:eastAsia="Arial"/>
        </w:rPr>
        <w:t>from socio-economic disadvantage</w:t>
      </w:r>
      <w:r w:rsidR="00606AB9" w:rsidRPr="236DB2DF">
        <w:rPr>
          <w:rFonts w:eastAsia="Arial"/>
        </w:rPr>
        <w:t xml:space="preserve">. </w:t>
      </w:r>
      <w:r w:rsidR="00BA47CD" w:rsidRPr="236DB2DF">
        <w:rPr>
          <w:rFonts w:eastAsia="Arial"/>
        </w:rPr>
        <w:t xml:space="preserve">In doing so, it is essential to give due regard to </w:t>
      </w:r>
      <w:r w:rsidR="00606AB9" w:rsidRPr="236DB2DF">
        <w:rPr>
          <w:rFonts w:eastAsia="Arial"/>
        </w:rPr>
        <w:t>the views and lived experiences</w:t>
      </w:r>
      <w:r w:rsidR="00E90237" w:rsidRPr="236DB2DF">
        <w:rPr>
          <w:rFonts w:eastAsia="Arial"/>
        </w:rPr>
        <w:t xml:space="preserve"> of </w:t>
      </w:r>
      <w:r w:rsidR="00BA47CD" w:rsidRPr="236DB2DF">
        <w:rPr>
          <w:rFonts w:eastAsia="Arial"/>
        </w:rPr>
        <w:t xml:space="preserve">Oxford’s </w:t>
      </w:r>
      <w:r w:rsidR="00E90237" w:rsidRPr="236DB2DF">
        <w:rPr>
          <w:rFonts w:eastAsia="Arial"/>
        </w:rPr>
        <w:t>citizens and communities.</w:t>
      </w:r>
    </w:p>
    <w:p w14:paraId="359C4FC1" w14:textId="654391BB" w:rsidR="6CDD406A" w:rsidRDefault="402D4465" w:rsidP="5C7EE11D">
      <w:pPr>
        <w:spacing w:before="240" w:after="240"/>
      </w:pPr>
      <w:r>
        <w:t>The Council’s principles of citizen and community engagement</w:t>
      </w:r>
      <w:r w:rsidR="459BB837">
        <w:t xml:space="preserve">, </w:t>
      </w:r>
      <w:r w:rsidR="00500745">
        <w:t>outlined below</w:t>
      </w:r>
      <w:r w:rsidR="459BB837">
        <w:t>,</w:t>
      </w:r>
      <w:r>
        <w:t xml:space="preserve"> </w:t>
      </w:r>
      <w:r w:rsidR="4D01B63D">
        <w:t>a</w:t>
      </w:r>
      <w:r w:rsidR="2CDE459F">
        <w:t xml:space="preserve">dhere to </w:t>
      </w:r>
      <w:r>
        <w:t>the Gunning Principles</w:t>
      </w:r>
      <w:r w:rsidR="5204B63F">
        <w:t>,</w:t>
      </w:r>
      <w:r w:rsidR="4A3375A1">
        <w:t xml:space="preserve"> which </w:t>
      </w:r>
      <w:r w:rsidR="1368D42B" w:rsidRPr="379D6A18">
        <w:rPr>
          <w:rFonts w:eastAsia="Arial"/>
        </w:rPr>
        <w:t xml:space="preserve">provide a robust legal foundation for </w:t>
      </w:r>
      <w:r w:rsidR="002C14ED">
        <w:rPr>
          <w:rFonts w:eastAsia="Arial"/>
        </w:rPr>
        <w:t xml:space="preserve">meaningful </w:t>
      </w:r>
      <w:r w:rsidR="1368D42B" w:rsidRPr="379D6A18">
        <w:rPr>
          <w:rFonts w:eastAsia="Arial"/>
        </w:rPr>
        <w:t>public consultation</w:t>
      </w:r>
      <w:r w:rsidR="5267DD20">
        <w:t>.</w:t>
      </w:r>
      <w:r w:rsidR="598B2CFD">
        <w:t xml:space="preserve"> </w:t>
      </w:r>
      <w:r w:rsidR="37BCE490">
        <w:t>While m</w:t>
      </w:r>
      <w:r w:rsidR="598B2CFD">
        <w:t>ore detai</w:t>
      </w:r>
      <w:r w:rsidR="16AA0157">
        <w:t xml:space="preserve">led information </w:t>
      </w:r>
      <w:r w:rsidR="00984C59">
        <w:t xml:space="preserve">is available </w:t>
      </w:r>
      <w:r w:rsidR="598B2CFD">
        <w:t xml:space="preserve">on the Local </w:t>
      </w:r>
      <w:r w:rsidR="28A97B5D">
        <w:t>Government</w:t>
      </w:r>
      <w:r w:rsidR="598B2CFD">
        <w:t xml:space="preserve"> Association (LGA) website</w:t>
      </w:r>
      <w:r w:rsidR="00DA5983">
        <w:t xml:space="preserve"> (see</w:t>
      </w:r>
      <w:r w:rsidR="00684ADA">
        <w:t xml:space="preserve"> also</w:t>
      </w:r>
      <w:r w:rsidR="00DA5983">
        <w:t xml:space="preserve"> the ‘Further Reading’ section of this document)</w:t>
      </w:r>
      <w:r w:rsidR="70525590">
        <w:t>,</w:t>
      </w:r>
      <w:r w:rsidR="4A3375A1">
        <w:t xml:space="preserve"> </w:t>
      </w:r>
      <w:r w:rsidR="0C2444EC">
        <w:t xml:space="preserve">the </w:t>
      </w:r>
      <w:r w:rsidR="00DA5983">
        <w:t>Gunning Principles</w:t>
      </w:r>
      <w:r w:rsidR="0C2444EC">
        <w:t xml:space="preserve"> </w:t>
      </w:r>
      <w:r w:rsidR="00984C59">
        <w:t>can be</w:t>
      </w:r>
      <w:r w:rsidR="0C2444EC">
        <w:t xml:space="preserve"> summarised </w:t>
      </w:r>
      <w:r w:rsidR="00DA5983">
        <w:t xml:space="preserve">into </w:t>
      </w:r>
      <w:r w:rsidR="00684ADA">
        <w:t>four</w:t>
      </w:r>
      <w:r w:rsidR="00DA5983">
        <w:t xml:space="preserve"> core principles</w:t>
      </w:r>
      <w:r w:rsidR="69E98501">
        <w:t>:</w:t>
      </w:r>
    </w:p>
    <w:p w14:paraId="64A5FF34" w14:textId="382F249B" w:rsidR="7EEDD9BC" w:rsidRDefault="7EEDD9BC" w:rsidP="5C7EE11D">
      <w:pPr>
        <w:pStyle w:val="ListParagraph"/>
        <w:numPr>
          <w:ilvl w:val="0"/>
          <w:numId w:val="1"/>
        </w:numPr>
        <w:spacing w:before="240" w:after="240"/>
      </w:pPr>
      <w:r>
        <w:t>Consultation must take place</w:t>
      </w:r>
      <w:r w:rsidR="368B0511">
        <w:t xml:space="preserve"> before </w:t>
      </w:r>
      <w:r w:rsidR="3E3C786F">
        <w:t>decisions are</w:t>
      </w:r>
      <w:r w:rsidR="368B0511">
        <w:t xml:space="preserve"> made</w:t>
      </w:r>
    </w:p>
    <w:p w14:paraId="0187F1CA" w14:textId="4D1B0DFE" w:rsidR="796FB429" w:rsidRDefault="796FB429" w:rsidP="5C7EE11D">
      <w:pPr>
        <w:pStyle w:val="ListParagraph"/>
        <w:numPr>
          <w:ilvl w:val="0"/>
          <w:numId w:val="1"/>
        </w:numPr>
        <w:spacing w:before="240" w:after="240"/>
      </w:pPr>
      <w:r w:rsidRPr="5C7EE11D">
        <w:t xml:space="preserve">Sufficient information must be provided to </w:t>
      </w:r>
      <w:r w:rsidR="00C73F0E">
        <w:t>allow for informed responses</w:t>
      </w:r>
    </w:p>
    <w:p w14:paraId="0005D1E4" w14:textId="200DF504" w:rsidR="796FB429" w:rsidRDefault="796FB429" w:rsidP="5C7EE11D">
      <w:pPr>
        <w:pStyle w:val="ListParagraph"/>
        <w:numPr>
          <w:ilvl w:val="0"/>
          <w:numId w:val="1"/>
        </w:numPr>
        <w:spacing w:before="240" w:after="240"/>
      </w:pPr>
      <w:r w:rsidRPr="5C7EE11D">
        <w:t xml:space="preserve">Adequate time should be given for </w:t>
      </w:r>
      <w:r w:rsidR="00C73F0E">
        <w:t>consideration and response</w:t>
      </w:r>
    </w:p>
    <w:p w14:paraId="362B1CDA" w14:textId="44102B68" w:rsidR="5C7EE11D" w:rsidRDefault="0025408F" w:rsidP="009226C8">
      <w:pPr>
        <w:pStyle w:val="ListParagraph"/>
        <w:numPr>
          <w:ilvl w:val="0"/>
          <w:numId w:val="1"/>
        </w:numPr>
        <w:spacing w:before="240" w:after="240"/>
      </w:pPr>
      <w:r>
        <w:t>Consultation responses</w:t>
      </w:r>
      <w:r w:rsidR="000E3985">
        <w:t xml:space="preserve"> should be conscientiously </w:t>
      </w:r>
      <w:r w:rsidR="7954E894">
        <w:t>considered</w:t>
      </w:r>
      <w:r w:rsidR="000E3985">
        <w:t xml:space="preserve"> in decision-making</w:t>
      </w:r>
    </w:p>
    <w:p w14:paraId="3EBEF954" w14:textId="7F0EE415" w:rsidR="00DB32FF" w:rsidRDefault="00200AE7" w:rsidP="7B209F1D">
      <w:pPr>
        <w:shd w:val="clear" w:color="auto" w:fill="FFFFFF" w:themeFill="background1"/>
        <w:jc w:val="both"/>
      </w:pPr>
      <w:r w:rsidRPr="00734390">
        <w:rPr>
          <w:b/>
          <w:bCs/>
        </w:rPr>
        <w:t xml:space="preserve">The Council’s </w:t>
      </w:r>
      <w:r w:rsidR="00734390" w:rsidRPr="00734390">
        <w:rPr>
          <w:b/>
          <w:bCs/>
        </w:rPr>
        <w:t>P</w:t>
      </w:r>
      <w:r w:rsidRPr="00734390">
        <w:rPr>
          <w:b/>
          <w:bCs/>
        </w:rPr>
        <w:t xml:space="preserve">rinciples of </w:t>
      </w:r>
      <w:r w:rsidR="00734390" w:rsidRPr="00734390">
        <w:rPr>
          <w:b/>
          <w:bCs/>
        </w:rPr>
        <w:t>C</w:t>
      </w:r>
      <w:r w:rsidRPr="00734390">
        <w:rPr>
          <w:b/>
          <w:bCs/>
        </w:rPr>
        <w:t xml:space="preserve">itizen and </w:t>
      </w:r>
      <w:r w:rsidR="00734390" w:rsidRPr="00734390">
        <w:rPr>
          <w:b/>
          <w:bCs/>
        </w:rPr>
        <w:t>C</w:t>
      </w:r>
      <w:r w:rsidRPr="00734390">
        <w:rPr>
          <w:b/>
          <w:bCs/>
        </w:rPr>
        <w:t xml:space="preserve">ommunity </w:t>
      </w:r>
      <w:r w:rsidR="00734390" w:rsidRPr="00734390">
        <w:rPr>
          <w:b/>
          <w:bCs/>
        </w:rPr>
        <w:t>E</w:t>
      </w:r>
      <w:r w:rsidRPr="00734390">
        <w:rPr>
          <w:b/>
          <w:bCs/>
        </w:rPr>
        <w:t>ngagement</w:t>
      </w:r>
      <w:r w:rsidRPr="7B209F1D">
        <w:t xml:space="preserve"> are:</w:t>
      </w:r>
    </w:p>
    <w:p w14:paraId="2B9148DF" w14:textId="77777777" w:rsidR="00A226C9" w:rsidRDefault="00A226C9" w:rsidP="7B209F1D">
      <w:pPr>
        <w:jc w:val="both"/>
      </w:pPr>
    </w:p>
    <w:p w14:paraId="78BB608C" w14:textId="47B8D854" w:rsidR="007E420C" w:rsidRPr="00552F07" w:rsidRDefault="00050C08" w:rsidP="7B209F1D">
      <w:pPr>
        <w:pStyle w:val="ListParagraph"/>
        <w:numPr>
          <w:ilvl w:val="0"/>
          <w:numId w:val="7"/>
        </w:numPr>
        <w:jc w:val="both"/>
        <w:rPr>
          <w:b/>
          <w:bCs/>
        </w:rPr>
      </w:pPr>
      <w:r w:rsidRPr="7B209F1D">
        <w:rPr>
          <w:b/>
          <w:bCs/>
          <w:u w:val="single"/>
        </w:rPr>
        <w:t>Flexibility</w:t>
      </w:r>
    </w:p>
    <w:p w14:paraId="3FFBBC44" w14:textId="1BCEA21C" w:rsidR="007E420C" w:rsidRDefault="45EFF626" w:rsidP="7B209F1D">
      <w:pPr>
        <w:pStyle w:val="ListParagraph"/>
        <w:jc w:val="both"/>
      </w:pPr>
      <w:r>
        <w:t xml:space="preserve">The Council will </w:t>
      </w:r>
      <w:r w:rsidR="00734390">
        <w:t>adopt</w:t>
      </w:r>
      <w:r w:rsidR="2A55E144">
        <w:t xml:space="preserve"> a flexible approach to engagement</w:t>
      </w:r>
      <w:r w:rsidR="578BE46E">
        <w:t xml:space="preserve">, </w:t>
      </w:r>
      <w:r w:rsidR="00FB213B">
        <w:t>enabling open and sustained conversations</w:t>
      </w:r>
      <w:r w:rsidR="1E2ED6ED">
        <w:t xml:space="preserve"> with citizens and communities</w:t>
      </w:r>
      <w:r w:rsidR="60561E99">
        <w:t xml:space="preserve">. The </w:t>
      </w:r>
      <w:r w:rsidR="42DE6B3D">
        <w:t xml:space="preserve">type and </w:t>
      </w:r>
      <w:r w:rsidR="60561E99">
        <w:t>breadth of engagement will vary depend</w:t>
      </w:r>
      <w:r w:rsidR="00E954FA">
        <w:t>ing</w:t>
      </w:r>
      <w:r w:rsidR="60561E99">
        <w:t xml:space="preserve"> on the</w:t>
      </w:r>
      <w:r w:rsidR="29231479">
        <w:t xml:space="preserve"> issue and </w:t>
      </w:r>
      <w:r w:rsidR="7FFE53C7">
        <w:t xml:space="preserve">the </w:t>
      </w:r>
      <w:r w:rsidR="29231479">
        <w:t xml:space="preserve">stage </w:t>
      </w:r>
      <w:r w:rsidR="7FFE53C7">
        <w:t>of development of the proposal</w:t>
      </w:r>
      <w:r w:rsidR="00E954FA">
        <w:t xml:space="preserve"> or </w:t>
      </w:r>
      <w:r w:rsidR="7FFE53C7">
        <w:t>decision.</w:t>
      </w:r>
      <w:r w:rsidR="00AB1C56">
        <w:t xml:space="preserve"> This </w:t>
      </w:r>
      <w:r w:rsidR="002D5562">
        <w:t>flexibility allows the Council to learn and act quickly.</w:t>
      </w:r>
    </w:p>
    <w:p w14:paraId="45AEB19C" w14:textId="77777777" w:rsidR="000C52AB" w:rsidRDefault="000C52AB" w:rsidP="7B209F1D">
      <w:pPr>
        <w:pStyle w:val="ListParagraph"/>
        <w:jc w:val="both"/>
      </w:pPr>
    </w:p>
    <w:p w14:paraId="058579B2" w14:textId="03613C49" w:rsidR="00E7194A" w:rsidRDefault="000C52AB" w:rsidP="7B209F1D">
      <w:pPr>
        <w:pStyle w:val="ListParagraph"/>
        <w:jc w:val="both"/>
      </w:pPr>
      <w:r>
        <w:t xml:space="preserve">Engagement </w:t>
      </w:r>
      <w:r w:rsidR="00E7194A">
        <w:t xml:space="preserve">activities </w:t>
      </w:r>
      <w:r>
        <w:t xml:space="preserve">may take </w:t>
      </w:r>
      <w:r w:rsidR="006C623F">
        <w:t>a variety of forms</w:t>
      </w:r>
      <w:r w:rsidR="00E7194A">
        <w:t xml:space="preserve"> – from online consultations,</w:t>
      </w:r>
      <w:r w:rsidR="00501839">
        <w:t xml:space="preserve"> questionnaires, and surveys to public meetings or feedback gathered through service delivery.</w:t>
      </w:r>
      <w:r w:rsidR="006C623F">
        <w:t xml:space="preserve"> </w:t>
      </w:r>
    </w:p>
    <w:p w14:paraId="101E9382" w14:textId="77777777" w:rsidR="0050392B" w:rsidRDefault="0050392B" w:rsidP="7B209F1D">
      <w:pPr>
        <w:pStyle w:val="ListParagraph"/>
        <w:jc w:val="both"/>
      </w:pPr>
    </w:p>
    <w:p w14:paraId="580BDCC6" w14:textId="061A314B" w:rsidR="008D2326" w:rsidRDefault="1DDD22BC" w:rsidP="7B209F1D">
      <w:pPr>
        <w:pStyle w:val="ListParagraph"/>
        <w:jc w:val="both"/>
      </w:pPr>
      <w:r>
        <w:t>To</w:t>
      </w:r>
      <w:r w:rsidR="0050392B">
        <w:t xml:space="preserve"> </w:t>
      </w:r>
      <w:r w:rsidR="008D2326">
        <w:t>ensure effectiveness</w:t>
      </w:r>
      <w:r w:rsidR="0050392B">
        <w:t>, the Council will identify</w:t>
      </w:r>
      <w:r w:rsidR="00770238">
        <w:t xml:space="preserve"> </w:t>
      </w:r>
      <w:r w:rsidR="008D2326">
        <w:t>the appropriate</w:t>
      </w:r>
      <w:r w:rsidR="0067632D">
        <w:t xml:space="preserve"> individuals, groups</w:t>
      </w:r>
      <w:r w:rsidR="00A808B7">
        <w:t xml:space="preserve">, or communities to engage at each stage of a </w:t>
      </w:r>
      <w:r w:rsidR="139D60B5">
        <w:t>proposals</w:t>
      </w:r>
      <w:r w:rsidR="00A808B7">
        <w:t xml:space="preserve"> or decision’s development.</w:t>
      </w:r>
    </w:p>
    <w:p w14:paraId="3CC80453" w14:textId="77777777" w:rsidR="007E420C" w:rsidRPr="00050C08" w:rsidRDefault="007E420C" w:rsidP="7B209F1D">
      <w:pPr>
        <w:jc w:val="both"/>
      </w:pPr>
    </w:p>
    <w:p w14:paraId="3BEE0A1E" w14:textId="2936B4EE" w:rsidR="007E420C" w:rsidRPr="00552F07" w:rsidRDefault="00050C08" w:rsidP="7B209F1D">
      <w:pPr>
        <w:pStyle w:val="ListParagraph"/>
        <w:numPr>
          <w:ilvl w:val="0"/>
          <w:numId w:val="7"/>
        </w:numPr>
        <w:jc w:val="both"/>
        <w:rPr>
          <w:b/>
          <w:bCs/>
        </w:rPr>
      </w:pPr>
      <w:r w:rsidRPr="7B209F1D">
        <w:rPr>
          <w:b/>
          <w:bCs/>
          <w:u w:val="single"/>
        </w:rPr>
        <w:t xml:space="preserve">Proportionality </w:t>
      </w:r>
    </w:p>
    <w:p w14:paraId="42DF8C94" w14:textId="1B38D91F" w:rsidR="007E420C" w:rsidRDefault="008918C0" w:rsidP="7B209F1D">
      <w:pPr>
        <w:pStyle w:val="ListParagraph"/>
        <w:jc w:val="both"/>
      </w:pPr>
      <w:r w:rsidRPr="7B209F1D">
        <w:t xml:space="preserve">The type and scale </w:t>
      </w:r>
      <w:r w:rsidR="00C338EB" w:rsidRPr="7B209F1D">
        <w:t xml:space="preserve">of citizen and community </w:t>
      </w:r>
      <w:r w:rsidR="00CB12B7" w:rsidRPr="7B209F1D">
        <w:t>engagement</w:t>
      </w:r>
      <w:r w:rsidR="00C338EB" w:rsidRPr="7B209F1D">
        <w:t xml:space="preserve"> will be </w:t>
      </w:r>
      <w:r w:rsidR="00541DB6" w:rsidRPr="7B209F1D">
        <w:t>proportionate to the potential impact of the</w:t>
      </w:r>
      <w:r w:rsidR="00F410BE" w:rsidRPr="7B209F1D">
        <w:t xml:space="preserve"> proposal</w:t>
      </w:r>
      <w:r w:rsidR="00CF58B6">
        <w:t xml:space="preserve"> or </w:t>
      </w:r>
      <w:r w:rsidR="00F410BE" w:rsidRPr="7B209F1D">
        <w:t>decision</w:t>
      </w:r>
      <w:r w:rsidR="00CF58B6">
        <w:t>, and</w:t>
      </w:r>
      <w:r w:rsidR="00A81448">
        <w:t xml:space="preserve"> the degree to which it can be influenced.</w:t>
      </w:r>
      <w:r w:rsidR="00541DB6" w:rsidRPr="7B209F1D">
        <w:t xml:space="preserve"> </w:t>
      </w:r>
    </w:p>
    <w:p w14:paraId="0D03D8B4" w14:textId="77777777" w:rsidR="00242A43" w:rsidRDefault="00242A43" w:rsidP="7B209F1D">
      <w:pPr>
        <w:pStyle w:val="ListParagraph"/>
        <w:jc w:val="both"/>
      </w:pPr>
    </w:p>
    <w:p w14:paraId="3FA46CFF" w14:textId="281B73ED" w:rsidR="00286F0A" w:rsidRDefault="00862DDF" w:rsidP="005F2B7F">
      <w:pPr>
        <w:pStyle w:val="ListParagraph"/>
        <w:jc w:val="both"/>
      </w:pPr>
      <w:r>
        <w:t xml:space="preserve">For </w:t>
      </w:r>
      <w:r w:rsidR="00A81448">
        <w:t>instance</w:t>
      </w:r>
      <w:r>
        <w:t xml:space="preserve">, localised issues </w:t>
      </w:r>
      <w:r w:rsidR="00A330D4">
        <w:t>affecting</w:t>
      </w:r>
      <w:r>
        <w:t xml:space="preserve"> a small area of the city </w:t>
      </w:r>
      <w:r w:rsidR="00A330D4">
        <w:t>may involve a smaller-scale</w:t>
      </w:r>
      <w:r w:rsidR="006641F3">
        <w:t xml:space="preserve">, targeted </w:t>
      </w:r>
      <w:r w:rsidR="00F626E3">
        <w:t>engagement,</w:t>
      </w:r>
      <w:r w:rsidR="00592ABD">
        <w:t xml:space="preserve"> and more collaborative decision-making.</w:t>
      </w:r>
      <w:r w:rsidR="005F2B7F">
        <w:t xml:space="preserve"> </w:t>
      </w:r>
      <w:r w:rsidR="00E95CD7">
        <w:t xml:space="preserve">On the other hand, </w:t>
      </w:r>
      <w:r w:rsidR="00CB7567">
        <w:t>citywide issues may require broader engagement activities</w:t>
      </w:r>
      <w:r w:rsidR="00AE4EA9">
        <w:t xml:space="preserve">; in these cases, while </w:t>
      </w:r>
      <w:r w:rsidR="0049620C">
        <w:t>the Council</w:t>
      </w:r>
      <w:r w:rsidR="00362953">
        <w:t xml:space="preserve"> is often the decision-</w:t>
      </w:r>
      <w:r w:rsidR="005523CE">
        <w:t>maker</w:t>
      </w:r>
      <w:r w:rsidR="00AE4EA9">
        <w:t>,</w:t>
      </w:r>
      <w:r w:rsidR="00362953">
        <w:t xml:space="preserve"> the views of citizens and communities</w:t>
      </w:r>
      <w:r w:rsidR="005F2B7F">
        <w:t xml:space="preserve"> will be an important part of</w:t>
      </w:r>
      <w:r w:rsidR="00362953">
        <w:t xml:space="preserve"> the decision-making process.</w:t>
      </w:r>
      <w:r w:rsidR="00286F0A">
        <w:t xml:space="preserve"> </w:t>
      </w:r>
    </w:p>
    <w:p w14:paraId="0134123F" w14:textId="77777777" w:rsidR="00286F0A" w:rsidRDefault="00286F0A" w:rsidP="7B209F1D">
      <w:pPr>
        <w:pStyle w:val="ListParagraph"/>
        <w:jc w:val="both"/>
      </w:pPr>
    </w:p>
    <w:p w14:paraId="55E917C9" w14:textId="56534886" w:rsidR="00130EA1" w:rsidRDefault="00130EA1" w:rsidP="7B209F1D">
      <w:pPr>
        <w:pStyle w:val="ListParagraph"/>
        <w:jc w:val="both"/>
      </w:pPr>
      <w:r>
        <w:t>Some engagement activities, particularly statutory consultations</w:t>
      </w:r>
      <w:r w:rsidR="00571750">
        <w:t>, may also be subject to predetermined requirements (e.g., citywide scale).</w:t>
      </w:r>
    </w:p>
    <w:p w14:paraId="5B9951BE" w14:textId="1B0E452A" w:rsidR="001F6897" w:rsidRDefault="001F6897" w:rsidP="0062665A">
      <w:pPr>
        <w:jc w:val="both"/>
      </w:pPr>
    </w:p>
    <w:p w14:paraId="5D0A9967" w14:textId="1CF0E6B1" w:rsidR="007E420C" w:rsidRPr="00552F07" w:rsidRDefault="00050C08" w:rsidP="7B209F1D">
      <w:pPr>
        <w:pStyle w:val="ListParagraph"/>
        <w:numPr>
          <w:ilvl w:val="0"/>
          <w:numId w:val="7"/>
        </w:numPr>
        <w:jc w:val="both"/>
        <w:rPr>
          <w:b/>
          <w:bCs/>
        </w:rPr>
      </w:pPr>
      <w:r w:rsidRPr="7B209F1D">
        <w:rPr>
          <w:b/>
          <w:bCs/>
          <w:u w:val="single"/>
        </w:rPr>
        <w:t>Transparency and Clarity</w:t>
      </w:r>
    </w:p>
    <w:p w14:paraId="2259E6AC" w14:textId="373FC6D5" w:rsidR="0062665A" w:rsidRDefault="0062665A" w:rsidP="7B209F1D">
      <w:pPr>
        <w:pStyle w:val="ListParagraph"/>
        <w:jc w:val="both"/>
      </w:pPr>
      <w:r>
        <w:t>Engagement activities will have clear objectives — setting out the proposal or decision being considered, its stage of development, and how it aligns with the Council’s broader strategic aims.</w:t>
      </w:r>
    </w:p>
    <w:p w14:paraId="21B2E0F4" w14:textId="77777777" w:rsidR="0062665A" w:rsidRDefault="0062665A" w:rsidP="7B209F1D">
      <w:pPr>
        <w:pStyle w:val="ListParagraph"/>
        <w:jc w:val="both"/>
      </w:pPr>
    </w:p>
    <w:p w14:paraId="71BB5ABD" w14:textId="05B34BE0" w:rsidR="0062665A" w:rsidRDefault="00110F48" w:rsidP="7B209F1D">
      <w:pPr>
        <w:pStyle w:val="ListParagraph"/>
        <w:jc w:val="both"/>
      </w:pPr>
      <w:r>
        <w:t>The scope of the engagement will be clearly defined, including what elements</w:t>
      </w:r>
      <w:r w:rsidR="00170FC9">
        <w:t xml:space="preserve"> of the proposals</w:t>
      </w:r>
      <w:r>
        <w:t xml:space="preserve"> are open to influence and what decisions have already been made. The Council will be transparent about how input can shape outcomes, and what the next steps will be, to help manage expectations</w:t>
      </w:r>
      <w:r w:rsidR="006C51BB">
        <w:t xml:space="preserve"> of citizens and communities</w:t>
      </w:r>
      <w:r>
        <w:t>.</w:t>
      </w:r>
    </w:p>
    <w:p w14:paraId="0769C84E" w14:textId="77777777" w:rsidR="009A6A9F" w:rsidRDefault="009A6A9F" w:rsidP="7B209F1D">
      <w:pPr>
        <w:pStyle w:val="ListParagraph"/>
        <w:jc w:val="both"/>
      </w:pPr>
    </w:p>
    <w:p w14:paraId="34619CE2" w14:textId="4ECA03B0" w:rsidR="009A6A9F" w:rsidRDefault="009A6A9F" w:rsidP="7B209F1D">
      <w:pPr>
        <w:pStyle w:val="ListParagraph"/>
        <w:jc w:val="both"/>
      </w:pPr>
      <w:r>
        <w:t>Sufficient, accessible information will be provided to support informed participation. Relevant materials will be made publicly available in a timely manner. The Council remains committed to sharing balanced, transparent, and objective information to help citizens and communities understand the issues.</w:t>
      </w:r>
    </w:p>
    <w:p w14:paraId="0765A7A2" w14:textId="77777777" w:rsidR="00287BF0" w:rsidRDefault="00287BF0" w:rsidP="006C51BB">
      <w:pPr>
        <w:jc w:val="both"/>
      </w:pPr>
    </w:p>
    <w:p w14:paraId="30E98746" w14:textId="45737B6A" w:rsidR="00937A9B" w:rsidRDefault="34624AAA" w:rsidP="000C7DA5">
      <w:pPr>
        <w:pStyle w:val="ListParagraph"/>
      </w:pPr>
      <w:r>
        <w:t xml:space="preserve">All </w:t>
      </w:r>
      <w:r w:rsidR="00B12A8F">
        <w:t>general communication channels (e.g., the Council website,</w:t>
      </w:r>
      <w:r w:rsidR="738BD65C">
        <w:t xml:space="preserve"> Tenant Portal,</w:t>
      </w:r>
      <w:r w:rsidR="00B12A8F">
        <w:t xml:space="preserve"> newsletters, social media, posters) and more targeted communications </w:t>
      </w:r>
      <w:r w:rsidR="00C77387">
        <w:t>(e.g., emailing lists,</w:t>
      </w:r>
      <w:r w:rsidR="00066EAC">
        <w:t xml:space="preserve"> community networks, direct outreach</w:t>
      </w:r>
      <w:r w:rsidR="0067698C">
        <w:t xml:space="preserve">) </w:t>
      </w:r>
      <w:r w:rsidR="00B12A8F">
        <w:t>will be used, as appropriate to the audience and issue.</w:t>
      </w:r>
    </w:p>
    <w:p w14:paraId="05F0A730" w14:textId="77777777" w:rsidR="007E420C" w:rsidRPr="007E420C" w:rsidRDefault="007E420C" w:rsidP="7B209F1D">
      <w:pPr>
        <w:pStyle w:val="ListParagraph"/>
        <w:jc w:val="both"/>
      </w:pPr>
    </w:p>
    <w:p w14:paraId="3E0DF49C" w14:textId="21AD18FF" w:rsidR="007E420C" w:rsidRPr="00552F07" w:rsidRDefault="00050C08" w:rsidP="7B209F1D">
      <w:pPr>
        <w:pStyle w:val="ListParagraph"/>
        <w:numPr>
          <w:ilvl w:val="0"/>
          <w:numId w:val="7"/>
        </w:numPr>
        <w:jc w:val="both"/>
        <w:rPr>
          <w:b/>
          <w:bCs/>
        </w:rPr>
      </w:pPr>
      <w:r w:rsidRPr="7B209F1D">
        <w:rPr>
          <w:b/>
          <w:bCs/>
          <w:u w:val="single"/>
        </w:rPr>
        <w:t>Timeliness</w:t>
      </w:r>
    </w:p>
    <w:p w14:paraId="74D4535C" w14:textId="240C1456" w:rsidR="00C70630" w:rsidRDefault="00C70630" w:rsidP="7B209F1D">
      <w:pPr>
        <w:ind w:left="720"/>
        <w:jc w:val="both"/>
      </w:pPr>
      <w:r>
        <w:t xml:space="preserve">Engagement will begin at the earliest appropriate stage in the development of a proposal or </w:t>
      </w:r>
      <w:r w:rsidR="000664EE">
        <w:t>decision when</w:t>
      </w:r>
      <w:r>
        <w:t xml:space="preserve"> </w:t>
      </w:r>
      <w:r w:rsidR="00F427B7">
        <w:t>the matter</w:t>
      </w:r>
      <w:r>
        <w:t xml:space="preserve"> is still </w:t>
      </w:r>
      <w:r w:rsidR="00F427B7">
        <w:t>under consideration</w:t>
      </w:r>
      <w:r>
        <w:t xml:space="preserve"> and there is </w:t>
      </w:r>
      <w:r w:rsidR="000664EE">
        <w:t xml:space="preserve">a </w:t>
      </w:r>
      <w:r>
        <w:t>meaningful opportunity for influence.</w:t>
      </w:r>
    </w:p>
    <w:p w14:paraId="71C05C58" w14:textId="77777777" w:rsidR="00993511" w:rsidRDefault="00993511" w:rsidP="7B209F1D">
      <w:pPr>
        <w:ind w:left="720"/>
        <w:jc w:val="both"/>
      </w:pPr>
    </w:p>
    <w:p w14:paraId="4FA24A9C" w14:textId="394EE29D" w:rsidR="00993511" w:rsidRDefault="00993511" w:rsidP="7B209F1D">
      <w:pPr>
        <w:ind w:left="720"/>
        <w:jc w:val="both"/>
      </w:pPr>
      <w:r>
        <w:t xml:space="preserve">Engagement timelines will be proportionate and realistic, allowing enough time for thoughtful participation. If engagement takes place over holiday periods, the Council will assess and mitigate any negative impact on participation. Typical </w:t>
      </w:r>
      <w:bookmarkStart w:id="6" w:name="_Int_yl61eVLc"/>
      <w:r>
        <w:t>timeframes</w:t>
      </w:r>
      <w:bookmarkEnd w:id="6"/>
      <w:r>
        <w:t xml:space="preserve"> for engagement range from two to twelve weeks, depending </w:t>
      </w:r>
      <w:r w:rsidR="00B342E3">
        <w:t>on the nature of the proposal/decision</w:t>
      </w:r>
      <w:r w:rsidR="00EC23E4">
        <w:t xml:space="preserve"> and the capacity of </w:t>
      </w:r>
      <w:r w:rsidR="00FB5D67">
        <w:t>communities to respond</w:t>
      </w:r>
      <w:r>
        <w:t>. Each engagement period will be assessed on a case-by-case basis.</w:t>
      </w:r>
    </w:p>
    <w:p w14:paraId="6503E6B4" w14:textId="77777777" w:rsidR="007E420C" w:rsidRPr="007E420C" w:rsidRDefault="007E420C" w:rsidP="00FB5D67">
      <w:pPr>
        <w:jc w:val="both"/>
      </w:pPr>
    </w:p>
    <w:p w14:paraId="6A17ADA4" w14:textId="50F82DF2" w:rsidR="007E420C" w:rsidRPr="00552F07" w:rsidRDefault="00050C08" w:rsidP="7B209F1D">
      <w:pPr>
        <w:pStyle w:val="ListParagraph"/>
        <w:numPr>
          <w:ilvl w:val="0"/>
          <w:numId w:val="7"/>
        </w:numPr>
        <w:jc w:val="both"/>
        <w:rPr>
          <w:b/>
          <w:bCs/>
        </w:rPr>
      </w:pPr>
      <w:r w:rsidRPr="7B209F1D">
        <w:rPr>
          <w:b/>
          <w:bCs/>
          <w:u w:val="single"/>
        </w:rPr>
        <w:t>Feedback</w:t>
      </w:r>
    </w:p>
    <w:p w14:paraId="4E18A987" w14:textId="56CD3270" w:rsidR="009F17C2" w:rsidRDefault="009F17C2" w:rsidP="7B209F1D">
      <w:pPr>
        <w:ind w:left="720"/>
        <w:jc w:val="both"/>
      </w:pPr>
      <w:r>
        <w:t>The Council is committed to capturing and using feedback from engagement activities to shape proposals and inform decisions. This helps ensure that decisions are well-informed, transparent, and reflective of the views and experiences of Oxford’s citizens and communities.</w:t>
      </w:r>
    </w:p>
    <w:p w14:paraId="43F9829C" w14:textId="53AC2C13" w:rsidR="00C64D2F" w:rsidRDefault="00C64D2F" w:rsidP="41A10A94">
      <w:pPr>
        <w:ind w:left="720"/>
        <w:jc w:val="both"/>
      </w:pPr>
    </w:p>
    <w:p w14:paraId="534E49EA" w14:textId="0B95AD29" w:rsidR="00B43E22" w:rsidRDefault="00B43E22" w:rsidP="00B43E22">
      <w:pPr>
        <w:ind w:left="720"/>
        <w:jc w:val="both"/>
      </w:pPr>
      <w:r>
        <w:t xml:space="preserve">Public consultation on this policy highlighted that the biggest barrier to participation is the belief that individual opinions won’t make a difference. To build trust and show that residents’ voices matter, the Council will strengthen its feedback loop — providing clear, timely updates on how public input has influenced decisions. </w:t>
      </w:r>
    </w:p>
    <w:p w14:paraId="3920F11B" w14:textId="77777777" w:rsidR="009C724E" w:rsidRDefault="009C724E" w:rsidP="7B209F1D">
      <w:pPr>
        <w:ind w:left="720"/>
        <w:jc w:val="both"/>
      </w:pPr>
    </w:p>
    <w:p w14:paraId="6C1C7C5C" w14:textId="7FE61783" w:rsidR="00C64D2F" w:rsidRDefault="00C64D2F" w:rsidP="7B209F1D">
      <w:pPr>
        <w:ind w:left="720"/>
        <w:jc w:val="both"/>
      </w:pPr>
      <w:r w:rsidRPr="7B209F1D">
        <w:t>In making decisions and developing policy, the Council will:</w:t>
      </w:r>
    </w:p>
    <w:p w14:paraId="16798D80" w14:textId="77777777" w:rsidR="00C64D2F" w:rsidRDefault="00C64D2F" w:rsidP="7B209F1D">
      <w:pPr>
        <w:ind w:left="720"/>
        <w:jc w:val="both"/>
      </w:pPr>
    </w:p>
    <w:p w14:paraId="49143F34" w14:textId="275F3CC7" w:rsidR="00C64D2F" w:rsidRPr="000D0610" w:rsidRDefault="006E485E" w:rsidP="000D0610">
      <w:pPr>
        <w:pStyle w:val="ListParagraph"/>
        <w:numPr>
          <w:ilvl w:val="0"/>
          <w:numId w:val="9"/>
        </w:numPr>
        <w:jc w:val="both"/>
        <w:rPr>
          <w:i/>
          <w:iCs/>
        </w:rPr>
      </w:pPr>
      <w:r>
        <w:t>Publish engagement results – Clearly s</w:t>
      </w:r>
      <w:r w:rsidR="000410F9" w:rsidRPr="7B209F1D">
        <w:t>et out the responses received</w:t>
      </w:r>
      <w:r w:rsidR="00A73772">
        <w:t xml:space="preserve"> through engagement activities and explain how these have informed the process.</w:t>
      </w:r>
      <w:r w:rsidR="000D0610">
        <w:t xml:space="preserve"> </w:t>
      </w:r>
      <w:r w:rsidR="00754954" w:rsidRPr="7B209F1D">
        <w:t>Results, including the number of responses, will be published within twelve weeks of the engagement closing</w:t>
      </w:r>
      <w:r w:rsidR="000D0610">
        <w:t xml:space="preserve">, </w:t>
      </w:r>
      <w:r w:rsidR="001B4DA1" w:rsidRPr="000D0610">
        <w:t>in line with relevant data protection legislation.</w:t>
      </w:r>
    </w:p>
    <w:p w14:paraId="790FBBDA" w14:textId="77777777" w:rsidR="00D81D7F" w:rsidRPr="001B4DA1" w:rsidRDefault="00D81D7F" w:rsidP="7B209F1D">
      <w:pPr>
        <w:pStyle w:val="ListParagraph"/>
        <w:ind w:left="1440"/>
        <w:jc w:val="both"/>
      </w:pPr>
    </w:p>
    <w:p w14:paraId="14BDB6D0" w14:textId="2BA15871" w:rsidR="00666228" w:rsidRDefault="000A2A41" w:rsidP="7B209F1D">
      <w:pPr>
        <w:pStyle w:val="ListParagraph"/>
        <w:numPr>
          <w:ilvl w:val="0"/>
          <w:numId w:val="9"/>
        </w:numPr>
        <w:jc w:val="both"/>
      </w:pPr>
      <w:r>
        <w:t xml:space="preserve">Provide feedback to participants - </w:t>
      </w:r>
      <w:r w:rsidR="50E295C8">
        <w:t>Share with</w:t>
      </w:r>
      <w:r w:rsidR="003E637B">
        <w:t xml:space="preserve"> respondents how their contributions </w:t>
      </w:r>
      <w:r w:rsidR="00666228">
        <w:t>have influenced the proposal or decision,</w:t>
      </w:r>
      <w:r w:rsidR="00723281">
        <w:t xml:space="preserve"> and </w:t>
      </w:r>
      <w:r w:rsidR="00666228">
        <w:t>maintain</w:t>
      </w:r>
      <w:r w:rsidR="00C263B5">
        <w:t xml:space="preserve"> open communication channels for follow-up, including updates on final decisions and implementation plans.</w:t>
      </w:r>
    </w:p>
    <w:p w14:paraId="6DCF3738" w14:textId="77777777" w:rsidR="00D81D7F" w:rsidRDefault="00D81D7F" w:rsidP="7B209F1D">
      <w:pPr>
        <w:jc w:val="both"/>
      </w:pPr>
    </w:p>
    <w:p w14:paraId="1894BAAC" w14:textId="4EF5B3BA" w:rsidR="00B156FF" w:rsidRDefault="00A0684C" w:rsidP="7B209F1D">
      <w:pPr>
        <w:pStyle w:val="ListParagraph"/>
        <w:numPr>
          <w:ilvl w:val="0"/>
          <w:numId w:val="9"/>
        </w:numPr>
        <w:jc w:val="both"/>
      </w:pPr>
      <w:r>
        <w:t xml:space="preserve">Ensure objective analysis – </w:t>
      </w:r>
      <w:r w:rsidR="003958FA" w:rsidRPr="7B209F1D">
        <w:t>Assess</w:t>
      </w:r>
      <w:r>
        <w:t xml:space="preserve"> all</w:t>
      </w:r>
      <w:r w:rsidR="003958FA" w:rsidRPr="7B209F1D">
        <w:t xml:space="preserve"> information and viewpoints </w:t>
      </w:r>
      <w:r>
        <w:t>fairly and impartially to ensure an accurate interpretation of the results</w:t>
      </w:r>
      <w:r w:rsidR="003958FA" w:rsidRPr="7B209F1D">
        <w:t>.</w:t>
      </w:r>
    </w:p>
    <w:p w14:paraId="3B0AA2DE" w14:textId="77777777" w:rsidR="00AF064C" w:rsidRDefault="00AF064C" w:rsidP="7B209F1D">
      <w:pPr>
        <w:jc w:val="both"/>
      </w:pPr>
    </w:p>
    <w:p w14:paraId="7D177357" w14:textId="1F94E368" w:rsidR="003958FA" w:rsidRDefault="00A0684C" w:rsidP="7B209F1D">
      <w:pPr>
        <w:pStyle w:val="ListParagraph"/>
        <w:numPr>
          <w:ilvl w:val="0"/>
          <w:numId w:val="9"/>
        </w:numPr>
        <w:jc w:val="both"/>
      </w:pPr>
      <w:r>
        <w:t xml:space="preserve">Be responsive to feedback - </w:t>
      </w:r>
      <w:r w:rsidR="00683E2E" w:rsidRPr="7B209F1D">
        <w:t xml:space="preserve">Take the voices of citizens and communities </w:t>
      </w:r>
      <w:r w:rsidR="009978D3" w:rsidRPr="7B209F1D">
        <w:t>seriously</w:t>
      </w:r>
      <w:r w:rsidR="009978D3">
        <w:t xml:space="preserve"> and</w:t>
      </w:r>
      <w:r w:rsidR="00683E2E" w:rsidRPr="7B209F1D">
        <w:t xml:space="preserve"> b</w:t>
      </w:r>
      <w:r w:rsidR="005C034F" w:rsidRPr="7B209F1D">
        <w:t xml:space="preserve">e prepared to </w:t>
      </w:r>
      <w:r w:rsidR="00B965F2">
        <w:t>revise</w:t>
      </w:r>
      <w:r w:rsidR="005C034F" w:rsidRPr="7B209F1D">
        <w:t xml:space="preserve"> plans</w:t>
      </w:r>
      <w:r w:rsidR="00B965F2">
        <w:t xml:space="preserve"> where appropriate</w:t>
      </w:r>
      <w:r w:rsidR="005C034F" w:rsidRPr="7B209F1D">
        <w:t xml:space="preserve"> in response to engagement </w:t>
      </w:r>
      <w:r w:rsidR="00B965F2">
        <w:t>findings</w:t>
      </w:r>
      <w:r w:rsidR="00683E2E" w:rsidRPr="7B209F1D">
        <w:t>.</w:t>
      </w:r>
    </w:p>
    <w:p w14:paraId="4EEBBE7D" w14:textId="77777777" w:rsidR="00AF064C" w:rsidRDefault="00AF064C" w:rsidP="7B209F1D">
      <w:pPr>
        <w:jc w:val="both"/>
      </w:pPr>
    </w:p>
    <w:p w14:paraId="60842B82" w14:textId="40A35656" w:rsidR="009978D3" w:rsidRDefault="005A0B8C" w:rsidP="7B209F1D">
      <w:pPr>
        <w:pStyle w:val="ListParagraph"/>
        <w:numPr>
          <w:ilvl w:val="0"/>
          <w:numId w:val="9"/>
        </w:numPr>
        <w:jc w:val="both"/>
      </w:pPr>
      <w:r>
        <w:t xml:space="preserve">Prioritise meaningful engagement - </w:t>
      </w:r>
      <w:r w:rsidR="00715CD8" w:rsidRPr="7B209F1D">
        <w:t xml:space="preserve">Ensure that engagement </w:t>
      </w:r>
      <w:r w:rsidR="002D4A57" w:rsidRPr="7B209F1D">
        <w:t>is given</w:t>
      </w:r>
      <w:r w:rsidR="009978D3">
        <w:t xml:space="preserve"> appropriate time, space, resources, and attention, with a genuine commitment to understanding and incorporating the views of citizens and communities into proposals and decisions.</w:t>
      </w:r>
    </w:p>
    <w:p w14:paraId="55DCE781" w14:textId="77777777" w:rsidR="004F269C" w:rsidRPr="007E420C" w:rsidRDefault="004F269C" w:rsidP="009978D3">
      <w:pPr>
        <w:jc w:val="both"/>
      </w:pPr>
    </w:p>
    <w:p w14:paraId="464E20E3" w14:textId="2682001F" w:rsidR="007E420C" w:rsidRPr="00552F07" w:rsidRDefault="00050C08" w:rsidP="7B209F1D">
      <w:pPr>
        <w:pStyle w:val="ListParagraph"/>
        <w:numPr>
          <w:ilvl w:val="0"/>
          <w:numId w:val="7"/>
        </w:numPr>
        <w:jc w:val="both"/>
        <w:rPr>
          <w:b/>
          <w:bCs/>
          <w:u w:val="single"/>
        </w:rPr>
      </w:pPr>
      <w:r w:rsidRPr="7B209F1D">
        <w:rPr>
          <w:b/>
          <w:bCs/>
          <w:u w:val="single"/>
        </w:rPr>
        <w:t>Inclusiv</w:t>
      </w:r>
      <w:r w:rsidR="00F073CA" w:rsidRPr="7B209F1D">
        <w:rPr>
          <w:b/>
          <w:bCs/>
          <w:u w:val="single"/>
        </w:rPr>
        <w:t>ity and Accessibility</w:t>
      </w:r>
    </w:p>
    <w:p w14:paraId="3F595C39" w14:textId="3AEA54F3" w:rsidR="00306083" w:rsidRDefault="00306083" w:rsidP="7B209F1D">
      <w:pPr>
        <w:ind w:left="720"/>
        <w:jc w:val="both"/>
      </w:pPr>
      <w:r>
        <w:t xml:space="preserve">The Council is committed to ensuring that all citizens and communities, including marginalised and under-represented groups, </w:t>
      </w:r>
      <w:r w:rsidR="4AF18E0D">
        <w:t>can</w:t>
      </w:r>
      <w:r>
        <w:t xml:space="preserve"> participate in engagement activities. Inclusive engagement leads to better, more equitable outcomes and helps ensure that all voices are heard</w:t>
      </w:r>
      <w:r w:rsidR="00EB191A">
        <w:t xml:space="preserve">, </w:t>
      </w:r>
      <w:r>
        <w:t>especially those that are typically harder to reach.</w:t>
      </w:r>
    </w:p>
    <w:p w14:paraId="77EE66E0" w14:textId="77777777" w:rsidR="00306083" w:rsidRDefault="00306083" w:rsidP="7B209F1D">
      <w:pPr>
        <w:ind w:left="720"/>
        <w:jc w:val="both"/>
      </w:pPr>
    </w:p>
    <w:p w14:paraId="56E72ADD" w14:textId="085ADFF8" w:rsidR="006820AF" w:rsidRDefault="006820AF" w:rsidP="236DB2DF">
      <w:pPr>
        <w:ind w:left="720"/>
        <w:jc w:val="both"/>
      </w:pPr>
      <w:r>
        <w:t xml:space="preserve">To maximise participation, information will be clear, easy to understand, and available in a variety of accessible formats. While the Council adopts a ‘Digital by Design’ approach to enhance accessibility, </w:t>
      </w:r>
      <w:r w:rsidR="00CC5431">
        <w:t>convenience,</w:t>
      </w:r>
      <w:r>
        <w:t xml:space="preserve"> and efficiency through online services, it also recognises the importance of alternative methods. These include face-to-face appointments, telephone support, printed newsletters and letters, workshops, posters, leaflets, and public noticeboards, helping to prevent digital exclusion and ensure equitable access to engagement opportunities.</w:t>
      </w:r>
    </w:p>
    <w:p w14:paraId="746BEF53" w14:textId="77777777" w:rsidR="00826451" w:rsidRDefault="00826451" w:rsidP="00826451">
      <w:pPr>
        <w:jc w:val="both"/>
      </w:pPr>
    </w:p>
    <w:p w14:paraId="1F24BA1B" w14:textId="547F6735" w:rsidR="00826451" w:rsidRDefault="00826451" w:rsidP="236DB2DF">
      <w:pPr>
        <w:ind w:left="720"/>
        <w:jc w:val="both"/>
        <w:rPr>
          <w:rFonts w:eastAsia="Arial"/>
        </w:rPr>
      </w:pPr>
      <w:r w:rsidRPr="5861C0E6">
        <w:rPr>
          <w:rFonts w:eastAsia="Arial"/>
        </w:rPr>
        <w:t>The Council will also consider incorporating a physical presence in future consultations — particularly in areas further from the city centre — to ensure that residents across all neighbourhoods have equal opportunity to participate. Where appropriate, support such as language interpreters will be offered to enable more inclusive and representative engagement.</w:t>
      </w:r>
    </w:p>
    <w:p w14:paraId="4FF18D09" w14:textId="77777777" w:rsidR="00E270F0" w:rsidRDefault="00E270F0" w:rsidP="236DB2DF">
      <w:pPr>
        <w:ind w:left="720"/>
        <w:jc w:val="both"/>
        <w:rPr>
          <w:rFonts w:eastAsia="Arial"/>
        </w:rPr>
      </w:pPr>
    </w:p>
    <w:p w14:paraId="22BB61F4" w14:textId="064C8728" w:rsidR="00380FA0" w:rsidRDefault="00E270F0" w:rsidP="236DB2DF">
      <w:pPr>
        <w:ind w:left="720"/>
        <w:jc w:val="both"/>
        <w:rPr>
          <w:rFonts w:eastAsia="Arial"/>
        </w:rPr>
      </w:pPr>
      <w:r w:rsidRPr="00E270F0">
        <w:rPr>
          <w:rFonts w:eastAsia="Arial"/>
        </w:rPr>
        <w:t xml:space="preserve">In recognition of </w:t>
      </w:r>
      <w:r>
        <w:rPr>
          <w:rFonts w:eastAsia="Arial"/>
        </w:rPr>
        <w:t>the Council’s</w:t>
      </w:r>
      <w:r w:rsidRPr="00E270F0">
        <w:rPr>
          <w:rFonts w:eastAsia="Arial"/>
        </w:rPr>
        <w:t xml:space="preserve"> commitment to becoming an age</w:t>
      </w:r>
      <w:r w:rsidR="00835E82">
        <w:rPr>
          <w:rFonts w:eastAsia="Arial"/>
        </w:rPr>
        <w:t>-</w:t>
      </w:r>
      <w:r w:rsidRPr="00E270F0">
        <w:rPr>
          <w:rFonts w:eastAsia="Arial"/>
        </w:rPr>
        <w:t xml:space="preserve"> and child-friendly city, </w:t>
      </w:r>
      <w:r w:rsidR="005027AD" w:rsidRPr="005027AD">
        <w:rPr>
          <w:rFonts w:eastAsia="Arial"/>
        </w:rPr>
        <w:t>proactive efforts will be made to engage children under the age of 12. Their perspectives and lived experiences are important in shaping the policies and services that affect their daily lives. Engagement methods will be tailored to be age-appropriate, accessible, and meaningful, while meeting all necessary legal and safeguarding requirements. Where appropriate, the Council will work with schools, youth organisations, and family networks to help ensure younger residents have the opportunity to take part in shaping the city’s future.</w:t>
      </w:r>
    </w:p>
    <w:p w14:paraId="6DE4E635" w14:textId="77777777" w:rsidR="005027AD" w:rsidRDefault="005027AD" w:rsidP="236DB2DF">
      <w:pPr>
        <w:ind w:left="720"/>
        <w:jc w:val="both"/>
        <w:rPr>
          <w:rFonts w:eastAsia="Arial"/>
        </w:rPr>
      </w:pPr>
    </w:p>
    <w:p w14:paraId="5D5DB244" w14:textId="19B07D16" w:rsidR="7AEB8237" w:rsidRDefault="7AEB8237" w:rsidP="236DB2DF">
      <w:pPr>
        <w:ind w:left="720"/>
        <w:jc w:val="both"/>
      </w:pPr>
      <w:r w:rsidRPr="0D191D4C">
        <w:rPr>
          <w:rFonts w:eastAsia="Arial"/>
        </w:rPr>
        <w:t>Where appropriate, the Council will also carry out Equality Impact Assessments and convene policy review task and finish groups — particularly where proposals directly affect residents — to ensure equity is embedded in decision-making from the outset.</w:t>
      </w:r>
    </w:p>
    <w:p w14:paraId="25FC5EF6" w14:textId="77777777" w:rsidR="00F917F8" w:rsidRDefault="00F917F8" w:rsidP="7B209F1D">
      <w:pPr>
        <w:jc w:val="both"/>
      </w:pPr>
    </w:p>
    <w:p w14:paraId="4E394E68" w14:textId="65CE265A" w:rsidR="00F14212" w:rsidRPr="00F14212" w:rsidRDefault="00673FDB" w:rsidP="00550396">
      <w:pPr>
        <w:pStyle w:val="ListParagraph"/>
        <w:numPr>
          <w:ilvl w:val="0"/>
          <w:numId w:val="7"/>
        </w:numPr>
        <w:spacing w:line="259" w:lineRule="auto"/>
        <w:jc w:val="both"/>
      </w:pPr>
      <w:r w:rsidRPr="0D191D4C">
        <w:rPr>
          <w:b/>
          <w:bCs/>
          <w:u w:val="single"/>
        </w:rPr>
        <w:t>Strengthening Tenant Voice</w:t>
      </w:r>
    </w:p>
    <w:p w14:paraId="17B7F618" w14:textId="236AAB45" w:rsidR="7B209F1D" w:rsidRDefault="002B0CC2" w:rsidP="00F14212">
      <w:pPr>
        <w:pStyle w:val="ListParagraph"/>
        <w:spacing w:line="259" w:lineRule="auto"/>
        <w:jc w:val="both"/>
      </w:pPr>
      <w:r w:rsidRPr="7B209F1D">
        <w:t xml:space="preserve">In line with the </w:t>
      </w:r>
      <w:r w:rsidR="00CD5AE6">
        <w:t xml:space="preserve">requirements of the </w:t>
      </w:r>
      <w:r w:rsidRPr="7B209F1D">
        <w:t xml:space="preserve">Social Housing </w:t>
      </w:r>
      <w:r w:rsidR="00CD5AE6">
        <w:t xml:space="preserve">(Regulation) </w:t>
      </w:r>
      <w:r w:rsidRPr="7B209F1D">
        <w:t>Act, the Council</w:t>
      </w:r>
      <w:r w:rsidR="00384FCA">
        <w:t xml:space="preserve"> is committed to strengthening engagement with tenants and leaseholders. This includes establishing regular opportunities for consultation</w:t>
      </w:r>
      <w:r w:rsidR="00442732">
        <w:t>s</w:t>
      </w:r>
      <w:r w:rsidR="00384FCA">
        <w:t>, providing accessible channels for feedback, and ensuring clear, transparent communication about tenant rights and the ways they can influence housing services and decisions.</w:t>
      </w:r>
      <w:r w:rsidRPr="7B209F1D">
        <w:t xml:space="preserve"> </w:t>
      </w:r>
    </w:p>
    <w:p w14:paraId="6C4B5815" w14:textId="1E8DB45D" w:rsidR="5C7EE11D" w:rsidRDefault="5C7EE11D" w:rsidP="5C7EE11D">
      <w:pPr>
        <w:pStyle w:val="ListParagraph"/>
        <w:jc w:val="both"/>
      </w:pPr>
    </w:p>
    <w:p w14:paraId="68E27B9C" w14:textId="0B7042E8" w:rsidR="7B209F1D" w:rsidRDefault="232BFBB3" w:rsidP="009A1664">
      <w:r w:rsidRPr="089F2CDC">
        <w:rPr>
          <w:rFonts w:eastAsia="Arial"/>
        </w:rPr>
        <w:t xml:space="preserve">These principles are further elaborated in the </w:t>
      </w:r>
      <w:r w:rsidRPr="089F2CDC">
        <w:rPr>
          <w:rFonts w:eastAsia="Arial"/>
          <w:b/>
          <w:bCs/>
        </w:rPr>
        <w:t>Consultation &amp; Engagement Toolkit</w:t>
      </w:r>
      <w:r w:rsidRPr="089F2CDC">
        <w:rPr>
          <w:rFonts w:eastAsia="Arial"/>
        </w:rPr>
        <w:t xml:space="preserve">, which </w:t>
      </w:r>
      <w:r w:rsidR="00800153">
        <w:rPr>
          <w:rFonts w:eastAsia="Arial"/>
        </w:rPr>
        <w:t>offers</w:t>
      </w:r>
      <w:r w:rsidRPr="089F2CDC">
        <w:rPr>
          <w:rFonts w:eastAsia="Arial"/>
        </w:rPr>
        <w:t xml:space="preserve"> practical guidance on </w:t>
      </w:r>
      <w:r w:rsidR="00800153">
        <w:rPr>
          <w:rFonts w:eastAsia="Arial"/>
        </w:rPr>
        <w:t>applying</w:t>
      </w:r>
      <w:r w:rsidRPr="089F2CDC">
        <w:rPr>
          <w:rFonts w:eastAsia="Arial"/>
        </w:rPr>
        <w:t xml:space="preserve"> the Gunning Principles to engagement processes. The toolkit includes resources </w:t>
      </w:r>
      <w:r w:rsidR="00FC0EAF">
        <w:rPr>
          <w:rFonts w:eastAsia="Arial"/>
        </w:rPr>
        <w:t>such as</w:t>
      </w:r>
      <w:r w:rsidRPr="089F2CDC">
        <w:rPr>
          <w:rFonts w:eastAsia="Arial"/>
        </w:rPr>
        <w:t xml:space="preserve"> the </w:t>
      </w:r>
      <w:r w:rsidRPr="089F2CDC">
        <w:rPr>
          <w:rFonts w:eastAsia="Arial"/>
          <w:b/>
          <w:bCs/>
        </w:rPr>
        <w:t>Public Involvement Project Brief Template</w:t>
      </w:r>
      <w:r w:rsidRPr="089F2CDC">
        <w:rPr>
          <w:rFonts w:eastAsia="Arial"/>
        </w:rPr>
        <w:t xml:space="preserve">, </w:t>
      </w:r>
      <w:r w:rsidR="00FC0EAF">
        <w:rPr>
          <w:rFonts w:eastAsia="Arial"/>
        </w:rPr>
        <w:t>designed to help</w:t>
      </w:r>
      <w:r w:rsidRPr="089F2CDC">
        <w:rPr>
          <w:rFonts w:eastAsia="Arial"/>
        </w:rPr>
        <w:t xml:space="preserve"> </w:t>
      </w:r>
      <w:r w:rsidR="00FC0EAF">
        <w:rPr>
          <w:rFonts w:eastAsia="Arial"/>
        </w:rPr>
        <w:t>structure consultations</w:t>
      </w:r>
      <w:r w:rsidRPr="089F2CDC">
        <w:rPr>
          <w:rFonts w:eastAsia="Arial"/>
        </w:rPr>
        <w:t xml:space="preserve"> to meet these standards. Staff and stakeholders are encouraged to use this toolkit </w:t>
      </w:r>
      <w:r w:rsidR="006015E3">
        <w:rPr>
          <w:rFonts w:eastAsia="Arial"/>
        </w:rPr>
        <w:t>when designing, implementing, and evaluating consultations</w:t>
      </w:r>
      <w:r w:rsidR="009A1664">
        <w:rPr>
          <w:rFonts w:eastAsia="Arial"/>
        </w:rPr>
        <w:t xml:space="preserve">, ensuring </w:t>
      </w:r>
      <w:r w:rsidR="009A1664">
        <w:t>alignment with the Council’s commitment to transparent and effective engagement.</w:t>
      </w:r>
    </w:p>
    <w:p w14:paraId="59CBE16B" w14:textId="77777777" w:rsidR="00EE685B" w:rsidRPr="00447ECA" w:rsidRDefault="2EECA3E2" w:rsidP="00EE685B">
      <w:pPr>
        <w:pStyle w:val="Heading1"/>
        <w:rPr>
          <w:rFonts w:ascii="Arial" w:hAnsi="Arial" w:cs="Arial"/>
          <w:b/>
          <w:bCs/>
          <w:color w:val="auto"/>
          <w:sz w:val="24"/>
          <w:szCs w:val="24"/>
        </w:rPr>
      </w:pPr>
      <w:bookmarkStart w:id="7" w:name="_Toc1782984503"/>
      <w:r w:rsidRPr="5861C0E6">
        <w:rPr>
          <w:rFonts w:ascii="Arial" w:hAnsi="Arial" w:cs="Arial"/>
          <w:b/>
          <w:bCs/>
          <w:color w:val="auto"/>
          <w:sz w:val="24"/>
          <w:szCs w:val="24"/>
        </w:rPr>
        <w:t>INTERNAL INFORMATION-SHARING AND ENGAGEMENT COORDINATION</w:t>
      </w:r>
      <w:bookmarkEnd w:id="7"/>
    </w:p>
    <w:p w14:paraId="06FE9C87" w14:textId="472F088D" w:rsidR="004518FB" w:rsidRDefault="004518FB" w:rsidP="7B209F1D">
      <w:r>
        <w:t>To avoid duplication of consultations and make the best use of citizen insights, the Council will establish and maintain a coordinated approach to information-sharing across departments. This ensures that feedback from engagement activities is easily accessible internally, and that departments align in their use of community and citizen insights.</w:t>
      </w:r>
    </w:p>
    <w:p w14:paraId="3A3C5050" w14:textId="77777777" w:rsidR="00EE685B" w:rsidRDefault="00EE685B" w:rsidP="7B209F1D"/>
    <w:p w14:paraId="6407E3E3" w14:textId="526DEC20" w:rsidR="00A52782" w:rsidRDefault="00EE685B" w:rsidP="00292E9E">
      <w:pPr>
        <w:pStyle w:val="ListParagraph"/>
        <w:numPr>
          <w:ilvl w:val="0"/>
          <w:numId w:val="17"/>
        </w:numPr>
      </w:pPr>
      <w:r w:rsidRPr="49F13B93">
        <w:rPr>
          <w:rStyle w:val="hljs-strong"/>
          <w:b/>
          <w:bCs/>
        </w:rPr>
        <w:t>Centrali</w:t>
      </w:r>
      <w:r w:rsidR="672AC20C" w:rsidRPr="49F13B93">
        <w:rPr>
          <w:rStyle w:val="hljs-strong"/>
          <w:b/>
          <w:bCs/>
        </w:rPr>
        <w:t>s</w:t>
      </w:r>
      <w:r w:rsidRPr="49F13B93">
        <w:rPr>
          <w:rStyle w:val="hljs-strong"/>
          <w:b/>
          <w:bCs/>
        </w:rPr>
        <w:t xml:space="preserve">ed Data </w:t>
      </w:r>
      <w:r w:rsidR="00A52782" w:rsidRPr="49F13B93">
        <w:rPr>
          <w:rStyle w:val="hljs-strong"/>
          <w:b/>
          <w:bCs/>
        </w:rPr>
        <w:t>Repository</w:t>
      </w:r>
      <w:r w:rsidR="1ECEB4F4" w:rsidRPr="49F13B93">
        <w:rPr>
          <w:rStyle w:val="hljs-strong"/>
          <w:b/>
          <w:bCs/>
        </w:rPr>
        <w:t>:</w:t>
      </w:r>
      <w:r>
        <w:t xml:space="preserve"> </w:t>
      </w:r>
      <w:r w:rsidR="00A52782">
        <w:t xml:space="preserve">A centralised repository will store engagement insights and feedback, enabling all departments to access data from prior consultations. This system allows teams to reference past engagements and reduce the need for repeated consultations on </w:t>
      </w:r>
      <w:bookmarkStart w:id="8" w:name="_Int_84I0mo9c"/>
      <w:r w:rsidR="00A52782">
        <w:t>similar topics</w:t>
      </w:r>
      <w:bookmarkEnd w:id="8"/>
      <w:r w:rsidR="00A52782">
        <w:t>.</w:t>
      </w:r>
    </w:p>
    <w:p w14:paraId="2868803E" w14:textId="77777777" w:rsidR="00EE685B" w:rsidRDefault="00EE685B" w:rsidP="7B209F1D">
      <w:pPr>
        <w:rPr>
          <w:rStyle w:val="hljs-strong"/>
        </w:rPr>
      </w:pPr>
    </w:p>
    <w:p w14:paraId="492886D0" w14:textId="69156D93" w:rsidR="00511E42" w:rsidRPr="00E938BB" w:rsidRDefault="76AA17E3" w:rsidP="00511E42">
      <w:pPr>
        <w:pStyle w:val="ListParagraph"/>
        <w:numPr>
          <w:ilvl w:val="0"/>
          <w:numId w:val="17"/>
        </w:numPr>
        <w:rPr>
          <w:rFonts w:eastAsiaTheme="minorEastAsia"/>
        </w:rPr>
      </w:pPr>
      <w:r w:rsidRPr="00E938BB">
        <w:rPr>
          <w:rStyle w:val="hljs-strong"/>
          <w:rFonts w:eastAsiaTheme="minorEastAsia"/>
          <w:b/>
          <w:bCs/>
        </w:rPr>
        <w:t xml:space="preserve">Engagement Activities Tracker: </w:t>
      </w:r>
      <w:r w:rsidR="00511E42">
        <w:t xml:space="preserve">An internal tracker will document all planned and completed engagement activities, providing visibility of timelines across departments. This tool helps minimise the risk of duplicative outreach to the same community groups. The </w:t>
      </w:r>
      <w:r w:rsidR="00511E42" w:rsidRPr="00E938BB">
        <w:t>Consultation Officer and Communications Manager will meet</w:t>
      </w:r>
      <w:r w:rsidR="00511E42">
        <w:t xml:space="preserve"> monthly to review the tracker, ensuring that all engagement activities receive the necessary publicity and support.</w:t>
      </w:r>
    </w:p>
    <w:p w14:paraId="1BADB042" w14:textId="0E4DF73B" w:rsidR="379D6A18" w:rsidRDefault="379D6A18" w:rsidP="379D6A18">
      <w:pPr>
        <w:pStyle w:val="ListParagraph"/>
        <w:rPr>
          <w:rStyle w:val="hljs-strong"/>
        </w:rPr>
      </w:pPr>
    </w:p>
    <w:p w14:paraId="11566DD4" w14:textId="6CF1E79E" w:rsidR="00520EC8" w:rsidRDefault="0E72122B" w:rsidP="00520EC8">
      <w:pPr>
        <w:pStyle w:val="ListParagraph"/>
        <w:numPr>
          <w:ilvl w:val="0"/>
          <w:numId w:val="17"/>
        </w:numPr>
      </w:pPr>
      <w:r w:rsidRPr="729BD97F">
        <w:rPr>
          <w:b/>
          <w:bCs/>
        </w:rPr>
        <w:t>Citizen Engagement section in the Horizon Scan</w:t>
      </w:r>
      <w:r w:rsidRPr="729BD97F">
        <w:t xml:space="preserve">: </w:t>
      </w:r>
      <w:r w:rsidR="00520EC8">
        <w:t xml:space="preserve">A dedicated section within the monthly </w:t>
      </w:r>
      <w:r w:rsidR="00520EC8">
        <w:rPr>
          <w:rStyle w:val="Strong"/>
        </w:rPr>
        <w:t>Horizon Scan</w:t>
      </w:r>
      <w:r w:rsidR="00520EC8">
        <w:t xml:space="preserve"> document will facilitate the sharing of engagement activities across departments, helping to minimise the risk of overlapping engagement efforts.</w:t>
      </w:r>
    </w:p>
    <w:p w14:paraId="18755EB7" w14:textId="77777777" w:rsidR="00EE685B" w:rsidRDefault="00EE685B" w:rsidP="7B209F1D">
      <w:pPr>
        <w:pStyle w:val="ListParagraph"/>
        <w:rPr>
          <w:rStyle w:val="hljs-strong"/>
        </w:rPr>
      </w:pPr>
    </w:p>
    <w:p w14:paraId="361FAFF8" w14:textId="08D7C661" w:rsidR="00B47CA1" w:rsidRPr="00552F07" w:rsidRDefault="00EE685B" w:rsidP="00B47CA1">
      <w:pPr>
        <w:pStyle w:val="ListParagraph"/>
        <w:numPr>
          <w:ilvl w:val="0"/>
          <w:numId w:val="17"/>
        </w:numPr>
      </w:pPr>
      <w:r w:rsidRPr="00ED5C84">
        <w:rPr>
          <w:rStyle w:val="hljs-strong"/>
          <w:b/>
          <w:bCs/>
        </w:rPr>
        <w:t>Feedback Loop</w:t>
      </w:r>
      <w:r w:rsidR="29D52C85" w:rsidRPr="00ED5C84">
        <w:rPr>
          <w:rStyle w:val="hljs-strong"/>
          <w:b/>
          <w:bCs/>
        </w:rPr>
        <w:t>:</w:t>
      </w:r>
      <w:r w:rsidRPr="00ED5C84">
        <w:rPr>
          <w:b/>
          <w:bCs/>
        </w:rPr>
        <w:t xml:space="preserve"> </w:t>
      </w:r>
      <w:r w:rsidR="00B47CA1">
        <w:t>Each department will periodically share updates on how community insights have influenced decisions, projects, or policies. This transparency ensures alignment, reinforces accountability, and demonstrates the impact of engagement efforts across teams.</w:t>
      </w:r>
    </w:p>
    <w:p w14:paraId="39CF075E" w14:textId="6EB467C7" w:rsidR="001970A9" w:rsidRPr="00552F07" w:rsidRDefault="001970A9" w:rsidP="7B209F1D">
      <w:pPr>
        <w:pStyle w:val="ListParagraph"/>
      </w:pPr>
    </w:p>
    <w:p w14:paraId="05F5DA55" w14:textId="16339FDD" w:rsidR="00ED5C84" w:rsidRPr="00552F07" w:rsidRDefault="7BC17E1F" w:rsidP="00ED5C84">
      <w:pPr>
        <w:pStyle w:val="ListParagraph"/>
        <w:numPr>
          <w:ilvl w:val="0"/>
          <w:numId w:val="17"/>
        </w:numPr>
      </w:pPr>
      <w:r w:rsidRPr="00E4777E">
        <w:rPr>
          <w:b/>
          <w:bCs/>
        </w:rPr>
        <w:t>Members</w:t>
      </w:r>
      <w:r w:rsidR="00E4777E">
        <w:rPr>
          <w:b/>
          <w:bCs/>
        </w:rPr>
        <w:t xml:space="preserve"> Notification</w:t>
      </w:r>
      <w:r w:rsidRPr="00E4777E">
        <w:rPr>
          <w:b/>
          <w:bCs/>
        </w:rPr>
        <w:t xml:space="preserve">: </w:t>
      </w:r>
      <w:r w:rsidR="00ED5C84">
        <w:t>When commissioning community or citizen engagement activities, the Council will notify relevant ward members, particularly for localised engagements, and the portfolio holder responsible for the related policy or service area. This ensures transparency and provides an opportunity for elected representatives to contribute local knowledge and context to the engagement process.</w:t>
      </w:r>
    </w:p>
    <w:p w14:paraId="0C712AC4" w14:textId="6A5C4558" w:rsidR="001970A9" w:rsidRPr="00552F07" w:rsidRDefault="38C6ECB7" w:rsidP="379D6A18">
      <w:pPr>
        <w:pStyle w:val="Heading1"/>
        <w:rPr>
          <w:rFonts w:ascii="Arial" w:hAnsi="Arial" w:cs="Arial"/>
          <w:b/>
          <w:bCs/>
          <w:color w:val="auto"/>
          <w:sz w:val="24"/>
          <w:szCs w:val="24"/>
        </w:rPr>
      </w:pPr>
      <w:bookmarkStart w:id="9" w:name="_Toc390674826"/>
      <w:r w:rsidRPr="5861C0E6">
        <w:rPr>
          <w:rFonts w:ascii="Arial" w:hAnsi="Arial" w:cs="Arial"/>
          <w:b/>
          <w:bCs/>
          <w:color w:val="auto"/>
          <w:sz w:val="24"/>
          <w:szCs w:val="24"/>
        </w:rPr>
        <w:t>CITIZEN &amp; COMMUNITY ENGAGEMENT APPROACHES</w:t>
      </w:r>
      <w:bookmarkEnd w:id="9"/>
    </w:p>
    <w:p w14:paraId="6B8639CE" w14:textId="73D0F6CA" w:rsidR="0076031B" w:rsidRDefault="0076031B" w:rsidP="7B209F1D">
      <w:pPr>
        <w:jc w:val="both"/>
      </w:pPr>
      <w:r>
        <w:t>The Council engages with citizens and communities in a variety of ways, tailoring the approach to each specific case. The Council’s primary goal is to create an inclusive and responsive engagement process that not only informs but actively involves citizens and communities in shaping the proposals and decisions that impact their lives. This collaborative approach enhances the quality and effectiveness of the proposals and decisions.</w:t>
      </w:r>
    </w:p>
    <w:p w14:paraId="31405208" w14:textId="77777777" w:rsidR="00EC5760" w:rsidRDefault="00EC5760" w:rsidP="005B6A70">
      <w:pPr>
        <w:jc w:val="both"/>
      </w:pPr>
    </w:p>
    <w:p w14:paraId="5BC2A74C" w14:textId="3F9C383A" w:rsidR="00EC5760" w:rsidRDefault="00EC5760" w:rsidP="7B209F1D">
      <w:pPr>
        <w:jc w:val="both"/>
      </w:pPr>
      <w:r w:rsidRPr="7B209F1D">
        <w:t>The Council’s approaches to citizen and community engagement include:</w:t>
      </w:r>
    </w:p>
    <w:p w14:paraId="3536A288" w14:textId="77777777" w:rsidR="00EC5760" w:rsidRDefault="00EC5760" w:rsidP="7B209F1D">
      <w:pPr>
        <w:ind w:left="720"/>
        <w:jc w:val="both"/>
      </w:pPr>
    </w:p>
    <w:p w14:paraId="5DD7A12C" w14:textId="21899DCB" w:rsidR="00EC5760" w:rsidRDefault="31F941ED" w:rsidP="7B209F1D">
      <w:pPr>
        <w:pStyle w:val="ListParagraph"/>
        <w:numPr>
          <w:ilvl w:val="0"/>
          <w:numId w:val="13"/>
        </w:numPr>
        <w:jc w:val="both"/>
      </w:pPr>
      <w:r w:rsidRPr="379D6A18">
        <w:rPr>
          <w:b/>
          <w:bCs/>
        </w:rPr>
        <w:t>Digital Engagement</w:t>
      </w:r>
      <w:r w:rsidR="4B68E0C4" w:rsidRPr="379D6A18">
        <w:rPr>
          <w:b/>
          <w:bCs/>
        </w:rPr>
        <w:t xml:space="preserve">: </w:t>
      </w:r>
      <w:r w:rsidR="4B68E0C4">
        <w:t xml:space="preserve">Utilising online platforms and social media to reach a </w:t>
      </w:r>
      <w:r w:rsidR="005B6A70">
        <w:t>wider</w:t>
      </w:r>
      <w:r w:rsidR="4B68E0C4">
        <w:t xml:space="preserve"> audience and facilitate real-time interaction.</w:t>
      </w:r>
    </w:p>
    <w:p w14:paraId="048A9FDE" w14:textId="341789F1" w:rsidR="2F9A7D44" w:rsidRDefault="2F9A7D44" w:rsidP="379D6A18">
      <w:pPr>
        <w:pStyle w:val="ListParagraph"/>
        <w:numPr>
          <w:ilvl w:val="0"/>
          <w:numId w:val="13"/>
        </w:numPr>
        <w:jc w:val="both"/>
      </w:pPr>
      <w:r w:rsidRPr="379D6A18">
        <w:rPr>
          <w:b/>
          <w:bCs/>
        </w:rPr>
        <w:t>Local Media</w:t>
      </w:r>
      <w:r>
        <w:t xml:space="preserve">: </w:t>
      </w:r>
      <w:r w:rsidR="74A1D4CF">
        <w:t>Informing the local media</w:t>
      </w:r>
      <w:r w:rsidR="004F6B67">
        <w:t xml:space="preserve"> outlets</w:t>
      </w:r>
      <w:r w:rsidR="74A1D4CF">
        <w:t xml:space="preserve">, </w:t>
      </w:r>
      <w:r w:rsidR="004F6B67">
        <w:t>such as</w:t>
      </w:r>
      <w:r w:rsidR="74A1D4CF">
        <w:t xml:space="preserve"> newspapers and radio stations, </w:t>
      </w:r>
      <w:r w:rsidR="00C33C32">
        <w:t xml:space="preserve">to share </w:t>
      </w:r>
      <w:r w:rsidR="74A1D4CF">
        <w:t>key council initiatives and engagement opportunities</w:t>
      </w:r>
      <w:r w:rsidR="00C33C32">
        <w:t>,</w:t>
      </w:r>
      <w:r w:rsidR="74A1D4CF">
        <w:t xml:space="preserve"> particularly</w:t>
      </w:r>
      <w:r w:rsidR="00F03E91">
        <w:t xml:space="preserve"> for residents who may be</w:t>
      </w:r>
      <w:r w:rsidR="74A1D4CF">
        <w:t xml:space="preserve"> digitally excluded.</w:t>
      </w:r>
    </w:p>
    <w:p w14:paraId="2EA17C88" w14:textId="2F5471B5" w:rsidR="00712467" w:rsidRDefault="00712467" w:rsidP="7B209F1D">
      <w:pPr>
        <w:pStyle w:val="ListParagraph"/>
        <w:numPr>
          <w:ilvl w:val="0"/>
          <w:numId w:val="13"/>
        </w:numPr>
        <w:jc w:val="both"/>
      </w:pPr>
      <w:r w:rsidRPr="7B209F1D">
        <w:rPr>
          <w:b/>
          <w:bCs/>
        </w:rPr>
        <w:t>Public</w:t>
      </w:r>
      <w:r w:rsidR="00505CC0" w:rsidRPr="7B209F1D">
        <w:rPr>
          <w:b/>
          <w:bCs/>
        </w:rPr>
        <w:t xml:space="preserve"> Consultations: </w:t>
      </w:r>
      <w:r w:rsidR="00505CC0" w:rsidRPr="7B209F1D">
        <w:t xml:space="preserve">conducting surveys, public </w:t>
      </w:r>
      <w:r w:rsidR="005523CE" w:rsidRPr="7B209F1D">
        <w:t>meetings,</w:t>
      </w:r>
      <w:r w:rsidR="00505CC0" w:rsidRPr="7B209F1D">
        <w:t xml:space="preserve"> and workshops to gather diverse perspectives</w:t>
      </w:r>
      <w:r w:rsidR="00A64850">
        <w:t xml:space="preserve"> from a wide range of citizens, groups, and communities</w:t>
      </w:r>
      <w:r w:rsidR="00505CC0" w:rsidRPr="7B209F1D">
        <w:t>.</w:t>
      </w:r>
    </w:p>
    <w:p w14:paraId="0F4BB4AE" w14:textId="15DE7336" w:rsidR="00505CC0" w:rsidRDefault="00505CC0" w:rsidP="7B209F1D">
      <w:pPr>
        <w:pStyle w:val="ListParagraph"/>
        <w:numPr>
          <w:ilvl w:val="0"/>
          <w:numId w:val="13"/>
        </w:numPr>
        <w:jc w:val="both"/>
      </w:pPr>
      <w:r w:rsidRPr="7B209F1D">
        <w:rPr>
          <w:b/>
          <w:bCs/>
        </w:rPr>
        <w:t>Collaborative Projects:</w:t>
      </w:r>
      <w:r w:rsidRPr="7B209F1D">
        <w:t xml:space="preserve"> Partnering with local organisations, </w:t>
      </w:r>
      <w:r w:rsidR="005523CE" w:rsidRPr="7B209F1D">
        <w:t>schools,</w:t>
      </w:r>
      <w:r w:rsidRPr="7B209F1D">
        <w:t xml:space="preserve"> and businesses to support community-led initiatives</w:t>
      </w:r>
      <w:r w:rsidR="001B4D6C">
        <w:t xml:space="preserve"> </w:t>
      </w:r>
      <w:r w:rsidR="001B4D6C" w:rsidRPr="001B4D6C">
        <w:t>and enhance collective engagement</w:t>
      </w:r>
      <w:r w:rsidRPr="7B209F1D">
        <w:t>.</w:t>
      </w:r>
    </w:p>
    <w:p w14:paraId="1E6CD36B" w14:textId="3CAAD317" w:rsidR="00A774B5" w:rsidRDefault="007D741C" w:rsidP="7B209F1D">
      <w:pPr>
        <w:pStyle w:val="ListParagraph"/>
        <w:numPr>
          <w:ilvl w:val="0"/>
          <w:numId w:val="13"/>
        </w:numPr>
        <w:jc w:val="both"/>
      </w:pPr>
      <w:r w:rsidRPr="5C7EE11D">
        <w:rPr>
          <w:b/>
          <w:bCs/>
        </w:rPr>
        <w:t>Locality Learning Sessions</w:t>
      </w:r>
      <w:r w:rsidR="0087584B" w:rsidRPr="5C7EE11D">
        <w:rPr>
          <w:b/>
          <w:bCs/>
        </w:rPr>
        <w:t>:</w:t>
      </w:r>
      <w:r w:rsidR="0087584B">
        <w:t xml:space="preserve"> </w:t>
      </w:r>
      <w:r w:rsidR="004C5B73">
        <w:t>Hosting</w:t>
      </w:r>
      <w:r w:rsidR="0087584B">
        <w:t xml:space="preserve"> local forums to discuss specific issues relevant</w:t>
      </w:r>
      <w:r w:rsidR="000762B2">
        <w:t xml:space="preserve"> to different areas of the city</w:t>
      </w:r>
      <w:r w:rsidR="004C5B73">
        <w:t>. These sessions</w:t>
      </w:r>
      <w:r w:rsidR="00A774B5">
        <w:t xml:space="preserve"> aim to support residents, respond to local needs, reduce inequalities, and build strong, resilient communities.</w:t>
      </w:r>
      <w:r w:rsidR="00EB7D17">
        <w:t xml:space="preserve"> </w:t>
      </w:r>
      <w:r w:rsidR="00EB7D17" w:rsidRPr="00EB7D17">
        <w:t>Locality Managers will utilise both Council-managed and independent venues, such as community centres, to facilitate accessible and tailored learning sessions that engage a broad spectrum of residents.</w:t>
      </w:r>
    </w:p>
    <w:p w14:paraId="77412FEB" w14:textId="7A647B6C" w:rsidR="00C567AE" w:rsidRDefault="00B947B7" w:rsidP="49F13B93">
      <w:pPr>
        <w:pStyle w:val="ListParagraph"/>
        <w:numPr>
          <w:ilvl w:val="0"/>
          <w:numId w:val="13"/>
        </w:numPr>
        <w:jc w:val="both"/>
        <w:rPr>
          <w:rFonts w:eastAsiaTheme="minorEastAsia"/>
        </w:rPr>
      </w:pPr>
      <w:r w:rsidRPr="0D191D4C">
        <w:rPr>
          <w:b/>
          <w:bCs/>
        </w:rPr>
        <w:t>Youth and Minority Engagement:</w:t>
      </w:r>
      <w:r>
        <w:t xml:space="preserve"> </w:t>
      </w:r>
      <w:r w:rsidR="00C567AE">
        <w:t>Developing</w:t>
      </w:r>
      <w:r w:rsidR="00ED50CA">
        <w:t xml:space="preserve"> targeted programmes to involve young people and minority groups in civic activities.</w:t>
      </w:r>
      <w:r w:rsidR="00F021DF">
        <w:t xml:space="preserve"> </w:t>
      </w:r>
      <w:r w:rsidR="0F7D4341">
        <w:t xml:space="preserve">For example, the </w:t>
      </w:r>
      <w:r w:rsidR="0F7D4341" w:rsidRPr="0D191D4C">
        <w:rPr>
          <w:b/>
          <w:bCs/>
        </w:rPr>
        <w:t>Youth Voice Panel</w:t>
      </w:r>
      <w:r w:rsidR="0F7D4341">
        <w:t xml:space="preserve"> </w:t>
      </w:r>
      <w:r w:rsidR="002675E7">
        <w:t xml:space="preserve">gathers </w:t>
      </w:r>
      <w:r w:rsidR="0F7D4341" w:rsidRPr="0D191D4C">
        <w:rPr>
          <w:rFonts w:eastAsiaTheme="minorEastAsia"/>
        </w:rPr>
        <w:t>feedback from young people under the age of 18</w:t>
      </w:r>
      <w:r w:rsidR="002675E7" w:rsidRPr="0D191D4C">
        <w:rPr>
          <w:rFonts w:eastAsiaTheme="minorEastAsia"/>
        </w:rPr>
        <w:t xml:space="preserve"> to ensure their voices are heard.</w:t>
      </w:r>
    </w:p>
    <w:p w14:paraId="4B2A9B59" w14:textId="7CF60A77" w:rsidR="003E41C0" w:rsidRDefault="189875F8" w:rsidP="003E41C0">
      <w:pPr>
        <w:pStyle w:val="ListParagraph"/>
        <w:numPr>
          <w:ilvl w:val="0"/>
          <w:numId w:val="13"/>
        </w:numPr>
        <w:jc w:val="both"/>
      </w:pPr>
      <w:r w:rsidRPr="001A52EA">
        <w:rPr>
          <w:b/>
          <w:bCs/>
        </w:rPr>
        <w:t xml:space="preserve">Localities </w:t>
      </w:r>
      <w:r w:rsidRPr="005A4616">
        <w:rPr>
          <w:b/>
          <w:bCs/>
        </w:rPr>
        <w:t>and Community Associations</w:t>
      </w:r>
      <w:r w:rsidR="003E41C0" w:rsidRPr="005A4616">
        <w:rPr>
          <w:b/>
          <w:bCs/>
        </w:rPr>
        <w:t>:</w:t>
      </w:r>
      <w:r w:rsidR="001A52EA" w:rsidRPr="005A4616">
        <w:rPr>
          <w:b/>
          <w:bCs/>
        </w:rPr>
        <w:t xml:space="preserve"> </w:t>
      </w:r>
      <w:r w:rsidR="003E41C0" w:rsidRPr="005A4616">
        <w:t>Leveraging community centres, including non-Council-managed centres, to reach broader groups of citizens and provide accessible pathways for participation.</w:t>
      </w:r>
    </w:p>
    <w:p w14:paraId="7657189C" w14:textId="77777777" w:rsidR="003E41C0" w:rsidRDefault="003E41C0" w:rsidP="003E41C0">
      <w:pPr>
        <w:jc w:val="both"/>
      </w:pPr>
    </w:p>
    <w:p w14:paraId="22579793" w14:textId="77777777" w:rsidR="00131172" w:rsidRDefault="00131172" w:rsidP="02893931"/>
    <w:p w14:paraId="50FC6F05" w14:textId="6E703E7B" w:rsidR="40D24481" w:rsidRDefault="7FE33381" w:rsidP="49F13B93">
      <w:pPr>
        <w:jc w:val="both"/>
        <w:rPr>
          <w:rFonts w:eastAsiaTheme="minorEastAsia"/>
        </w:rPr>
      </w:pPr>
      <w:r>
        <w:t>The</w:t>
      </w:r>
      <w:r w:rsidR="2B4F2BFC">
        <w:t xml:space="preserve"> Council’s engagement approach is </w:t>
      </w:r>
      <w:r w:rsidR="00915B8C">
        <w:t>further</w:t>
      </w:r>
      <w:r w:rsidR="2B4F2BFC">
        <w:t xml:space="preserve"> supported by the</w:t>
      </w:r>
      <w:r>
        <w:t xml:space="preserve"> </w:t>
      </w:r>
      <w:r w:rsidR="40D24481" w:rsidRPr="0D191D4C">
        <w:rPr>
          <w:b/>
          <w:bCs/>
        </w:rPr>
        <w:t>Citizen Experience Strategy</w:t>
      </w:r>
      <w:r w:rsidR="60096213">
        <w:t>, which</w:t>
      </w:r>
      <w:r w:rsidR="40D24481">
        <w:t xml:space="preserve"> </w:t>
      </w:r>
      <w:r w:rsidR="00312876">
        <w:t>outlines how</w:t>
      </w:r>
      <w:r w:rsidR="40D24481">
        <w:t xml:space="preserve"> the Council</w:t>
      </w:r>
      <w:r w:rsidR="00312876">
        <w:t xml:space="preserve"> ensures </w:t>
      </w:r>
      <w:r w:rsidR="40D24481">
        <w:t xml:space="preserve">a positive experience for citizens accessing </w:t>
      </w:r>
      <w:r w:rsidR="00554D3E">
        <w:t>its</w:t>
      </w:r>
      <w:r w:rsidR="40D24481">
        <w:t xml:space="preserve"> services and engaging with the Council. A key </w:t>
      </w:r>
      <w:r w:rsidR="00554D3E">
        <w:t>element</w:t>
      </w:r>
      <w:r w:rsidR="40D24481">
        <w:t xml:space="preserve"> of this strategy</w:t>
      </w:r>
      <w:r w:rsidR="00FF4D6E">
        <w:t xml:space="preserve"> is</w:t>
      </w:r>
      <w:r w:rsidR="40D24481">
        <w:t xml:space="preserve"> the </w:t>
      </w:r>
      <w:r w:rsidR="40D24481" w:rsidRPr="0D191D4C">
        <w:rPr>
          <w:b/>
          <w:bCs/>
        </w:rPr>
        <w:t>Channel Management Plan,</w:t>
      </w:r>
      <w:r w:rsidR="40D24481">
        <w:t xml:space="preserve"> </w:t>
      </w:r>
      <w:r w:rsidR="00FF4D6E">
        <w:t xml:space="preserve">which </w:t>
      </w:r>
      <w:r w:rsidR="40D24481">
        <w:t xml:space="preserve">aims to </w:t>
      </w:r>
      <w:r w:rsidR="40D24481" w:rsidRPr="0D191D4C">
        <w:rPr>
          <w:rFonts w:eastAsiaTheme="minorEastAsia"/>
        </w:rPr>
        <w:t xml:space="preserve">streamline the </w:t>
      </w:r>
      <w:r w:rsidR="00FF4D6E" w:rsidRPr="0D191D4C">
        <w:rPr>
          <w:rFonts w:eastAsiaTheme="minorEastAsia"/>
        </w:rPr>
        <w:t>various</w:t>
      </w:r>
      <w:r w:rsidR="40D24481" w:rsidRPr="0D191D4C">
        <w:rPr>
          <w:rFonts w:eastAsiaTheme="minorEastAsia"/>
        </w:rPr>
        <w:t xml:space="preserve"> contact channels available to citizens. </w:t>
      </w:r>
      <w:r w:rsidR="007D6508">
        <w:t>This plan focuses on optimising both in-person and digital channels</w:t>
      </w:r>
      <w:r w:rsidR="34860337">
        <w:t xml:space="preserve"> -</w:t>
      </w:r>
      <w:r w:rsidR="437A9DF7">
        <w:t xml:space="preserve"> </w:t>
      </w:r>
      <w:r w:rsidR="007D6508">
        <w:t xml:space="preserve">ensuring that </w:t>
      </w:r>
      <w:r w:rsidR="3ACAB19B">
        <w:t>residents</w:t>
      </w:r>
      <w:r w:rsidR="007D6508">
        <w:t xml:space="preserve"> who </w:t>
      </w:r>
      <w:r w:rsidR="2B9A85CD">
        <w:t xml:space="preserve">are more likely to be digitally excluded, such as older citizens, </w:t>
      </w:r>
      <w:r w:rsidR="67EDF41B">
        <w:t>can access</w:t>
      </w:r>
      <w:r w:rsidR="007D6508">
        <w:t xml:space="preserve"> telephone or face-to-face support</w:t>
      </w:r>
      <w:r w:rsidR="29651626">
        <w:t xml:space="preserve"> </w:t>
      </w:r>
      <w:r w:rsidR="007D6508">
        <w:t>without delay, while encouraging and supporting those who can use digital channels to do so. By improving the consistency and efficiency of these contact channels, the Council aims to create a better overall experience for citizens and improve demand management</w:t>
      </w:r>
      <w:bookmarkStart w:id="10" w:name="_Int_fIpjSyIU"/>
      <w:r w:rsidR="007D6508">
        <w:t>.</w:t>
      </w:r>
      <w:r w:rsidR="40D24481" w:rsidRPr="0D191D4C">
        <w:rPr>
          <w:rFonts w:eastAsiaTheme="minorEastAsia"/>
        </w:rPr>
        <w:t xml:space="preserve">  </w:t>
      </w:r>
      <w:bookmarkEnd w:id="10"/>
    </w:p>
    <w:p w14:paraId="027F2ADC" w14:textId="68FC1871" w:rsidR="02893931" w:rsidRDefault="02893931" w:rsidP="02893931"/>
    <w:p w14:paraId="410F68A9" w14:textId="6DE34A99" w:rsidR="02893931" w:rsidRDefault="02893931" w:rsidP="02893931"/>
    <w:p w14:paraId="275437A0" w14:textId="473D807E" w:rsidR="00026D32" w:rsidRPr="006355BA" w:rsidRDefault="38C6ECB7" w:rsidP="006355BA">
      <w:pPr>
        <w:pStyle w:val="Heading1"/>
        <w:rPr>
          <w:rFonts w:ascii="Arial" w:hAnsi="Arial" w:cs="Arial"/>
          <w:b/>
          <w:bCs/>
          <w:color w:val="auto"/>
          <w:sz w:val="24"/>
          <w:szCs w:val="24"/>
        </w:rPr>
      </w:pPr>
      <w:bookmarkStart w:id="11" w:name="_Toc2021614907"/>
      <w:r w:rsidRPr="5861C0E6">
        <w:rPr>
          <w:rFonts w:ascii="Arial" w:hAnsi="Arial" w:cs="Arial"/>
          <w:b/>
          <w:bCs/>
          <w:color w:val="auto"/>
          <w:sz w:val="24"/>
          <w:szCs w:val="24"/>
        </w:rPr>
        <w:t>INCENTIVES</w:t>
      </w:r>
      <w:bookmarkEnd w:id="11"/>
      <w:r w:rsidRPr="5861C0E6">
        <w:rPr>
          <w:rFonts w:ascii="Arial" w:hAnsi="Arial" w:cs="Arial"/>
          <w:b/>
          <w:bCs/>
          <w:color w:val="auto"/>
          <w:sz w:val="24"/>
          <w:szCs w:val="24"/>
        </w:rPr>
        <w:t xml:space="preserve"> </w:t>
      </w:r>
    </w:p>
    <w:p w14:paraId="5C09F218" w14:textId="73ACAC56" w:rsidR="004E66F7" w:rsidRDefault="004E66F7" w:rsidP="7B209F1D">
      <w:pPr>
        <w:jc w:val="both"/>
      </w:pPr>
      <w:r>
        <w:t>Incentives can be a useful tool for encouraging citizen and community participation in engagement activities. Where they are used, the following principles must be followed:</w:t>
      </w:r>
    </w:p>
    <w:p w14:paraId="592EC2B4" w14:textId="77777777" w:rsidR="00881F8D" w:rsidRDefault="00881F8D" w:rsidP="7B209F1D">
      <w:pPr>
        <w:jc w:val="both"/>
      </w:pPr>
    </w:p>
    <w:p w14:paraId="0583F8DF" w14:textId="54B67F92" w:rsidR="00397337" w:rsidRDefault="00A80552" w:rsidP="00397337">
      <w:pPr>
        <w:pStyle w:val="ListParagraph"/>
        <w:numPr>
          <w:ilvl w:val="0"/>
          <w:numId w:val="18"/>
        </w:numPr>
        <w:jc w:val="both"/>
      </w:pPr>
      <w:r>
        <w:rPr>
          <w:rStyle w:val="Strong"/>
        </w:rPr>
        <w:t>Participation-only requirement</w:t>
      </w:r>
      <w:r>
        <w:t>: Respondents must not be asked to do anything beyond agreeing to take part in the engagement or consultation activity to qualify for an incentive.</w:t>
      </w:r>
    </w:p>
    <w:p w14:paraId="56A8F612" w14:textId="7C42BA60" w:rsidR="004D3476" w:rsidRDefault="004D3476" w:rsidP="00397337">
      <w:pPr>
        <w:pStyle w:val="ListParagraph"/>
        <w:numPr>
          <w:ilvl w:val="0"/>
          <w:numId w:val="18"/>
        </w:numPr>
        <w:jc w:val="both"/>
      </w:pPr>
      <w:r w:rsidRPr="215E46FE">
        <w:rPr>
          <w:rStyle w:val="Strong"/>
        </w:rPr>
        <w:t>No financial cost</w:t>
      </w:r>
      <w:r>
        <w:t xml:space="preserve">: Incentives must not require participants to spend money. For example, discount vouchers should not be used, as these require </w:t>
      </w:r>
      <w:r w:rsidR="006F7FF1">
        <w:t>respondents</w:t>
      </w:r>
      <w:r>
        <w:t xml:space="preserve"> to pay the remaining balance. Monetary </w:t>
      </w:r>
      <w:r w:rsidR="7A766A17">
        <w:t>vouchers may</w:t>
      </w:r>
      <w:r w:rsidR="00DE149F">
        <w:t xml:space="preserve"> be permissible</w:t>
      </w:r>
      <w:r w:rsidR="003D28EB">
        <w:t>,</w:t>
      </w:r>
      <w:r w:rsidR="00DE149F">
        <w:t xml:space="preserve"> as </w:t>
      </w:r>
      <w:r w:rsidR="003D28EB">
        <w:t>determined</w:t>
      </w:r>
      <w:r w:rsidR="00DE149F">
        <w:t xml:space="preserve"> by the </w:t>
      </w:r>
      <w:r w:rsidR="00577CC2">
        <w:t xml:space="preserve">Council’s </w:t>
      </w:r>
      <w:r w:rsidR="007477EC">
        <w:t xml:space="preserve">Constitution and authorised by the </w:t>
      </w:r>
      <w:r w:rsidR="003D28EB">
        <w:t>Group Finance Director,</w:t>
      </w:r>
      <w:r>
        <w:t xml:space="preserve"> </w:t>
      </w:r>
      <w:r w:rsidR="006306D9">
        <w:t xml:space="preserve">because </w:t>
      </w:r>
      <w:r>
        <w:t xml:space="preserve">they do not require </w:t>
      </w:r>
      <w:r w:rsidR="006306D9">
        <w:t>participants</w:t>
      </w:r>
      <w:r w:rsidR="00777D39">
        <w:t>’</w:t>
      </w:r>
      <w:r w:rsidR="006306D9">
        <w:t xml:space="preserve"> </w:t>
      </w:r>
      <w:r>
        <w:t>personal expenditure.</w:t>
      </w:r>
    </w:p>
    <w:p w14:paraId="7C34F141" w14:textId="0D1E649F" w:rsidR="00881F8D" w:rsidRDefault="00881F8D" w:rsidP="00397337">
      <w:pPr>
        <w:pStyle w:val="ListParagraph"/>
        <w:numPr>
          <w:ilvl w:val="0"/>
          <w:numId w:val="18"/>
        </w:numPr>
        <w:jc w:val="both"/>
      </w:pPr>
      <w:r w:rsidRPr="0D191D4C">
        <w:rPr>
          <w:rStyle w:val="Strong"/>
        </w:rPr>
        <w:t>Data privacy</w:t>
      </w:r>
      <w:r>
        <w:t xml:space="preserve">: Incentives must not be used </w:t>
      </w:r>
      <w:r w:rsidR="4241D745">
        <w:t>to</w:t>
      </w:r>
      <w:r>
        <w:t xml:space="preserve"> collect personal information. Any personal data provided (e.g., to deliver a voucher or enter a prize draw) must be stored separately from consultation responses and handled in line with data protection legislation.</w:t>
      </w:r>
    </w:p>
    <w:p w14:paraId="4EC891EF" w14:textId="4785AC2F" w:rsidR="00415083" w:rsidRDefault="00415083" w:rsidP="00397337">
      <w:pPr>
        <w:pStyle w:val="ListParagraph"/>
        <w:numPr>
          <w:ilvl w:val="0"/>
          <w:numId w:val="18"/>
        </w:numPr>
        <w:jc w:val="both"/>
      </w:pPr>
      <w:r>
        <w:rPr>
          <w:rStyle w:val="Strong"/>
        </w:rPr>
        <w:t>Clear communication</w:t>
      </w:r>
      <w:r>
        <w:t>: Participants must be informed in advance about the nature of the incentive, whether a cash alternative is available, how and when the incentive will be issued</w:t>
      </w:r>
      <w:r w:rsidR="004C5E66">
        <w:t>, and (if applicable) how and when winners will be announced.</w:t>
      </w:r>
    </w:p>
    <w:p w14:paraId="28B9987C" w14:textId="0B82CBE1" w:rsidR="004C5E66" w:rsidRDefault="004C5E66" w:rsidP="00397337">
      <w:pPr>
        <w:pStyle w:val="ListParagraph"/>
        <w:numPr>
          <w:ilvl w:val="0"/>
          <w:numId w:val="18"/>
        </w:numPr>
        <w:jc w:val="both"/>
      </w:pPr>
      <w:r>
        <w:rPr>
          <w:rStyle w:val="Strong"/>
        </w:rPr>
        <w:t xml:space="preserve">Fair </w:t>
      </w:r>
      <w:r w:rsidR="00714F21">
        <w:rPr>
          <w:rStyle w:val="Strong"/>
        </w:rPr>
        <w:t>prize draws</w:t>
      </w:r>
      <w:r w:rsidR="00714F21">
        <w:t>: If a free prize draw is used, winners must be selected fairly and transparently, in line with the laws of chance. An independent draw process must be followed and supported by a clear audit trail. While the draw process will not be made public, an explanation can be provided on request.</w:t>
      </w:r>
    </w:p>
    <w:p w14:paraId="64E6BA95" w14:textId="77777777" w:rsidR="00026D32" w:rsidRPr="00A664B8" w:rsidRDefault="00026D32" w:rsidP="00A664B8">
      <w:pPr>
        <w:rPr>
          <w:b/>
          <w:bCs/>
        </w:rPr>
      </w:pPr>
    </w:p>
    <w:p w14:paraId="5D3DD385" w14:textId="6A44E50C" w:rsidR="004F1A86" w:rsidRPr="006355BA" w:rsidRDefault="38C6ECB7" w:rsidP="006355BA">
      <w:pPr>
        <w:pStyle w:val="Heading1"/>
        <w:rPr>
          <w:rFonts w:ascii="Arial" w:hAnsi="Arial" w:cs="Arial"/>
          <w:b/>
          <w:bCs/>
          <w:color w:val="auto"/>
          <w:sz w:val="24"/>
          <w:szCs w:val="24"/>
        </w:rPr>
      </w:pPr>
      <w:bookmarkStart w:id="12" w:name="_Toc74686540"/>
      <w:r w:rsidRPr="5861C0E6">
        <w:rPr>
          <w:rFonts w:ascii="Arial" w:hAnsi="Arial" w:cs="Arial"/>
          <w:b/>
          <w:bCs/>
          <w:color w:val="auto"/>
          <w:sz w:val="24"/>
          <w:szCs w:val="24"/>
        </w:rPr>
        <w:t>DATA, DEMOGRAPHICS &amp; INTELLIGENCE</w:t>
      </w:r>
      <w:bookmarkEnd w:id="12"/>
    </w:p>
    <w:p w14:paraId="35CD5DD1" w14:textId="36C0F02B" w:rsidR="006103E6" w:rsidRDefault="006103E6" w:rsidP="7B209F1D">
      <w:pPr>
        <w:jc w:val="both"/>
      </w:pPr>
      <w:r>
        <w:t>The Council gathers a broad range of local data and intelligence, including demographic information, to support the delivery of services and inform decision-making. This data plays a key role in shaping proposals, identifying community needs, and designing inclusive engagement approaches.</w:t>
      </w:r>
    </w:p>
    <w:p w14:paraId="3C19C920" w14:textId="77777777" w:rsidR="003E0833" w:rsidRDefault="003E0833" w:rsidP="7B209F1D">
      <w:pPr>
        <w:jc w:val="both"/>
      </w:pPr>
    </w:p>
    <w:p w14:paraId="3E8A0CD7" w14:textId="3FDA46A3" w:rsidR="003E0833" w:rsidRDefault="003E0833" w:rsidP="7B209F1D">
      <w:pPr>
        <w:jc w:val="both"/>
      </w:pPr>
      <w:r>
        <w:t>All relevant data and insights are considered during the development of policies, services, and other decisions to ensure that they are evidence-based and responsive to the city's diverse population.</w:t>
      </w:r>
    </w:p>
    <w:p w14:paraId="467380E7" w14:textId="77777777" w:rsidR="006103E6" w:rsidRDefault="006103E6" w:rsidP="7B209F1D">
      <w:pPr>
        <w:jc w:val="both"/>
      </w:pPr>
    </w:p>
    <w:p w14:paraId="27B314EA" w14:textId="1F97C64A" w:rsidR="009A5985" w:rsidRDefault="009A5985" w:rsidP="7B209F1D">
      <w:pPr>
        <w:jc w:val="both"/>
      </w:pPr>
      <w:r>
        <w:t xml:space="preserve">Much of this information is publicly available and published </w:t>
      </w:r>
      <w:r w:rsidRPr="7B209F1D">
        <w:t xml:space="preserve">on the </w:t>
      </w:r>
      <w:hyperlink r:id="rId20">
        <w:r w:rsidRPr="7B209F1D">
          <w:rPr>
            <w:rStyle w:val="Hyperlink"/>
            <w:color w:val="auto"/>
          </w:rPr>
          <w:t>Council</w:t>
        </w:r>
        <w:r w:rsidR="006E33A4">
          <w:rPr>
            <w:rStyle w:val="Hyperlink"/>
            <w:color w:val="auto"/>
          </w:rPr>
          <w:t>’s</w:t>
        </w:r>
        <w:r w:rsidRPr="7B209F1D">
          <w:rPr>
            <w:rStyle w:val="Hyperlink"/>
            <w:color w:val="auto"/>
          </w:rPr>
          <w:t xml:space="preserve"> website</w:t>
        </w:r>
      </w:hyperlink>
      <w:r w:rsidR="006E33A4">
        <w:t xml:space="preserve"> </w:t>
      </w:r>
      <w:r>
        <w:t>contributing to transparency and wider community understanding.</w:t>
      </w:r>
    </w:p>
    <w:p w14:paraId="6DFF4023" w14:textId="775629F4" w:rsidR="00C94D67" w:rsidRDefault="00C94D67" w:rsidP="2BDF7E0D">
      <w:pPr>
        <w:jc w:val="both"/>
      </w:pPr>
    </w:p>
    <w:p w14:paraId="32DF2F73" w14:textId="0E6E3911" w:rsidR="00C94D67" w:rsidRDefault="00C94D67" w:rsidP="49F13B93">
      <w:pPr>
        <w:jc w:val="both"/>
        <w:rPr>
          <w:rFonts w:eastAsia="Arial"/>
        </w:rPr>
      </w:pPr>
      <w:r>
        <w:t xml:space="preserve">In addition, the Council collects </w:t>
      </w:r>
      <w:r w:rsidR="00931492">
        <w:t>valuable insight</w:t>
      </w:r>
      <w:r>
        <w:t xml:space="preserve"> </w:t>
      </w:r>
      <w:r w:rsidR="000514A5">
        <w:t>through</w:t>
      </w:r>
      <w:r>
        <w:t xml:space="preserve"> its </w:t>
      </w:r>
      <w:r w:rsidRPr="0D191D4C">
        <w:rPr>
          <w:b/>
          <w:bCs/>
        </w:rPr>
        <w:t>Residents’ Panel</w:t>
      </w:r>
      <w:r w:rsidR="7AE975AB" w:rsidRPr="0D191D4C">
        <w:rPr>
          <w:b/>
          <w:bCs/>
        </w:rPr>
        <w:t>,</w:t>
      </w:r>
      <w:r>
        <w:t xml:space="preserve"> </w:t>
      </w:r>
      <w:r w:rsidR="7EA190D9" w:rsidRPr="0D191D4C">
        <w:rPr>
          <w:b/>
          <w:bCs/>
        </w:rPr>
        <w:t>Tenant Involvement Insights</w:t>
      </w:r>
      <w:r w:rsidR="7EA190D9">
        <w:t xml:space="preserve"> </w:t>
      </w:r>
      <w:r>
        <w:t xml:space="preserve">and the </w:t>
      </w:r>
      <w:r w:rsidRPr="0D191D4C">
        <w:rPr>
          <w:b/>
          <w:bCs/>
        </w:rPr>
        <w:t>Annual Residents’ Survey</w:t>
      </w:r>
      <w:r w:rsidR="00874105">
        <w:t xml:space="preserve">, </w:t>
      </w:r>
      <w:r w:rsidR="7A54B411">
        <w:t>all</w:t>
      </w:r>
      <w:r w:rsidR="00874105">
        <w:t xml:space="preserve"> of which </w:t>
      </w:r>
      <w:r w:rsidR="001C3276">
        <w:t>help capture the views, experiences, and priorities of Oxford’s residents</w:t>
      </w:r>
      <w:r w:rsidR="5014B3FC">
        <w:t xml:space="preserve">. </w:t>
      </w:r>
      <w:r w:rsidR="398683BB">
        <w:t>B</w:t>
      </w:r>
      <w:r w:rsidR="5014B3FC">
        <w:t>y tracking feedback over time</w:t>
      </w:r>
      <w:r w:rsidR="4B692C5F">
        <w:t>, as is the case</w:t>
      </w:r>
      <w:r w:rsidR="36CEBE25">
        <w:t>,</w:t>
      </w:r>
      <w:r w:rsidR="4B692C5F">
        <w:t xml:space="preserve"> for example</w:t>
      </w:r>
      <w:r w:rsidR="758564EE">
        <w:t>,</w:t>
      </w:r>
      <w:r w:rsidR="4B692C5F">
        <w:t xml:space="preserve"> for the Annual Residents’ Survey, </w:t>
      </w:r>
      <w:r w:rsidR="5014B3FC">
        <w:t>the</w:t>
      </w:r>
      <w:r w:rsidR="210B6A01" w:rsidRPr="0D191D4C">
        <w:rPr>
          <w:rFonts w:eastAsia="Arial"/>
        </w:rPr>
        <w:t xml:space="preserve"> Council can better understand the impact of its decisions and adapt its approach to ensure it continues to meet the’ needs</w:t>
      </w:r>
      <w:r w:rsidR="738A930A" w:rsidRPr="0D191D4C">
        <w:rPr>
          <w:rFonts w:eastAsia="Arial"/>
        </w:rPr>
        <w:t xml:space="preserve"> of citizens and communities</w:t>
      </w:r>
      <w:r w:rsidR="210B6A01" w:rsidRPr="0D191D4C">
        <w:rPr>
          <w:rFonts w:eastAsia="Arial"/>
        </w:rPr>
        <w:t>. Regular reporting o</w:t>
      </w:r>
      <w:r w:rsidR="646875F9" w:rsidRPr="0D191D4C">
        <w:rPr>
          <w:rFonts w:eastAsia="Arial"/>
        </w:rPr>
        <w:t>f</w:t>
      </w:r>
      <w:r w:rsidR="210B6A01" w:rsidRPr="0D191D4C">
        <w:rPr>
          <w:rFonts w:eastAsia="Arial"/>
        </w:rPr>
        <w:t xml:space="preserve"> these insights also helps maintain transparency and accountability, further strengthening the Council's commitment to equitable and inclusive engagement</w:t>
      </w:r>
    </w:p>
    <w:p w14:paraId="77180296" w14:textId="77777777" w:rsidR="00874105" w:rsidRDefault="00874105" w:rsidP="7B209F1D">
      <w:pPr>
        <w:jc w:val="both"/>
      </w:pPr>
    </w:p>
    <w:p w14:paraId="7FFC2D16" w14:textId="550F0DCE" w:rsidR="00844BE5" w:rsidRPr="006355BA" w:rsidRDefault="38C6ECB7" w:rsidP="006355BA">
      <w:pPr>
        <w:pStyle w:val="Heading1"/>
        <w:rPr>
          <w:rFonts w:ascii="Arial" w:hAnsi="Arial" w:cs="Arial"/>
          <w:b/>
          <w:bCs/>
          <w:color w:val="auto"/>
          <w:sz w:val="24"/>
          <w:szCs w:val="24"/>
        </w:rPr>
      </w:pPr>
      <w:bookmarkStart w:id="13" w:name="_Toc2025891458"/>
      <w:r w:rsidRPr="5861C0E6">
        <w:rPr>
          <w:rFonts w:ascii="Arial" w:hAnsi="Arial" w:cs="Arial"/>
          <w:b/>
          <w:bCs/>
          <w:color w:val="auto"/>
          <w:sz w:val="24"/>
          <w:szCs w:val="24"/>
        </w:rPr>
        <w:t>PUBLIC INVOLVEMENT AT COUNCIL MEETINGS</w:t>
      </w:r>
      <w:bookmarkEnd w:id="13"/>
    </w:p>
    <w:p w14:paraId="4AFA1D7D" w14:textId="2E8B90DE" w:rsidR="00814871" w:rsidRDefault="00EE6753" w:rsidP="00814871">
      <w:pPr>
        <w:jc w:val="both"/>
      </w:pPr>
      <w:r w:rsidRPr="7B209F1D">
        <w:t xml:space="preserve">The Council holds </w:t>
      </w:r>
      <w:r w:rsidR="00DE00AB">
        <w:t xml:space="preserve">a range of </w:t>
      </w:r>
      <w:r w:rsidRPr="7B209F1D">
        <w:t>meetings</w:t>
      </w:r>
      <w:r w:rsidR="00AB1EC9">
        <w:t xml:space="preserve"> -</w:t>
      </w:r>
      <w:r w:rsidRPr="7B209F1D">
        <w:t xml:space="preserve"> including Full Council, Cabinet</w:t>
      </w:r>
      <w:r w:rsidR="00444C19" w:rsidRPr="7B209F1D">
        <w:t>, Committees, Sub-Committees and Panels</w:t>
      </w:r>
      <w:r w:rsidR="00AB1EC9">
        <w:t xml:space="preserve"> - m</w:t>
      </w:r>
      <w:r w:rsidR="57A57E05" w:rsidRPr="7B209F1D">
        <w:t>any of</w:t>
      </w:r>
      <w:r w:rsidR="00C3212C" w:rsidRPr="7B209F1D">
        <w:t xml:space="preserve"> </w:t>
      </w:r>
      <w:r w:rsidR="00AB1EC9">
        <w:t>which</w:t>
      </w:r>
      <w:r w:rsidR="00C3212C" w:rsidRPr="7B209F1D">
        <w:t xml:space="preserve"> are open to the </w:t>
      </w:r>
      <w:r w:rsidR="005523CE" w:rsidRPr="7B209F1D">
        <w:t>public</w:t>
      </w:r>
      <w:r w:rsidR="006A2806">
        <w:t xml:space="preserve">. These meetings provide </w:t>
      </w:r>
      <w:r w:rsidR="0078394C">
        <w:t xml:space="preserve">opportunities for citizens and communities to </w:t>
      </w:r>
      <w:r w:rsidR="00C75FD2" w:rsidRPr="7B209F1D">
        <w:t>observe proceedings and watch local democracy in action.</w:t>
      </w:r>
      <w:r w:rsidR="0076226F">
        <w:t xml:space="preserve"> </w:t>
      </w:r>
      <w:r w:rsidR="009B189F">
        <w:t xml:space="preserve">In most cases, </w:t>
      </w:r>
      <w:r w:rsidR="00904AF3">
        <w:t xml:space="preserve">citizens and communities </w:t>
      </w:r>
      <w:r w:rsidR="009B189F">
        <w:t xml:space="preserve">can participate in meetings </w:t>
      </w:r>
      <w:r w:rsidR="0076226F">
        <w:t>following</w:t>
      </w:r>
      <w:r w:rsidR="00814871" w:rsidRPr="7B209F1D">
        <w:t xml:space="preserve"> relevant meeting procedures and the Council’s Constitution. </w:t>
      </w:r>
    </w:p>
    <w:p w14:paraId="620737CA" w14:textId="77777777" w:rsidR="00C3212C" w:rsidRDefault="00C3212C" w:rsidP="7B209F1D">
      <w:pPr>
        <w:jc w:val="both"/>
      </w:pPr>
    </w:p>
    <w:p w14:paraId="3CE86B34" w14:textId="3EE7F7D0" w:rsidR="00331A4D" w:rsidRDefault="00331A4D" w:rsidP="7B209F1D">
      <w:pPr>
        <w:jc w:val="both"/>
      </w:pPr>
      <w:r>
        <w:t>Locality Teams support this process by helping to gather and represent community views where relevant.</w:t>
      </w:r>
    </w:p>
    <w:p w14:paraId="66019F66" w14:textId="77777777" w:rsidR="00F021DF" w:rsidRDefault="00F021DF" w:rsidP="7B209F1D">
      <w:pPr>
        <w:jc w:val="both"/>
      </w:pPr>
    </w:p>
    <w:p w14:paraId="35BE4172" w14:textId="1189C6D1" w:rsidR="00C3212C" w:rsidRPr="00EE6753" w:rsidRDefault="00C3212C" w:rsidP="7B209F1D">
      <w:pPr>
        <w:jc w:val="both"/>
      </w:pPr>
      <w:r>
        <w:t xml:space="preserve">Further </w:t>
      </w:r>
      <w:r w:rsidR="00156C5A">
        <w:t xml:space="preserve">details </w:t>
      </w:r>
      <w:r w:rsidR="00447ECA">
        <w:t>are</w:t>
      </w:r>
      <w:r>
        <w:t xml:space="preserve"> available on the Council’s</w:t>
      </w:r>
      <w:r w:rsidR="002A1075">
        <w:t xml:space="preserve"> website</w:t>
      </w:r>
      <w:r w:rsidR="003E6DAF">
        <w:t>.</w:t>
      </w:r>
    </w:p>
    <w:p w14:paraId="5074809E" w14:textId="7926A002" w:rsidR="00071E13" w:rsidRPr="00071E13" w:rsidRDefault="38C6ECB7" w:rsidP="379D6A18">
      <w:pPr>
        <w:pStyle w:val="Heading1"/>
        <w:rPr>
          <w:rFonts w:ascii="Arial" w:hAnsi="Arial" w:cs="Arial"/>
          <w:b/>
          <w:bCs/>
          <w:color w:val="auto"/>
          <w:sz w:val="24"/>
          <w:szCs w:val="24"/>
        </w:rPr>
      </w:pPr>
      <w:bookmarkStart w:id="14" w:name="_Toc228074567"/>
      <w:r w:rsidRPr="5861C0E6">
        <w:rPr>
          <w:rFonts w:ascii="Arial" w:hAnsi="Arial" w:cs="Arial"/>
          <w:b/>
          <w:bCs/>
          <w:color w:val="auto"/>
          <w:sz w:val="24"/>
          <w:szCs w:val="24"/>
        </w:rPr>
        <w:t>MONITORING AND REPORTING</w:t>
      </w:r>
      <w:bookmarkEnd w:id="14"/>
    </w:p>
    <w:p w14:paraId="678B5F96" w14:textId="0C093983" w:rsidR="00535768" w:rsidRDefault="00071E13" w:rsidP="7B209F1D">
      <w:pPr>
        <w:jc w:val="both"/>
      </w:pPr>
      <w:r w:rsidRPr="7B209F1D">
        <w:t xml:space="preserve">The Council is committed to continuous </w:t>
      </w:r>
      <w:r w:rsidR="005523CE" w:rsidRPr="7B209F1D">
        <w:t>improvement,</w:t>
      </w:r>
      <w:r w:rsidRPr="7B209F1D">
        <w:t xml:space="preserve"> </w:t>
      </w:r>
      <w:r w:rsidR="00BA04EF">
        <w:t>and this applies equally to how we engage with citizens and communities.</w:t>
      </w:r>
    </w:p>
    <w:p w14:paraId="13744017" w14:textId="77777777" w:rsidR="006E2A5A" w:rsidRDefault="006E2A5A" w:rsidP="7B209F1D">
      <w:pPr>
        <w:jc w:val="both"/>
      </w:pPr>
    </w:p>
    <w:p w14:paraId="38A2A630" w14:textId="4A05EE27" w:rsidR="00823CA9" w:rsidRDefault="00823CA9" w:rsidP="7B209F1D">
      <w:pPr>
        <w:jc w:val="both"/>
      </w:pPr>
      <w:r>
        <w:t xml:space="preserve">To ensure engagement activities remain effective and meaningful, the Council will regularly monitor and review its engagement practices using tools such as the centralised data repository and the engagement activities tracker. This includes checking how well departments are using existing insights, </w:t>
      </w:r>
      <w:r w:rsidR="00581D0C">
        <w:t>incentive tools</w:t>
      </w:r>
      <w:r w:rsidR="00F34DA0">
        <w:t>,</w:t>
      </w:r>
      <w:r w:rsidR="00581D0C">
        <w:t xml:space="preserve"> </w:t>
      </w:r>
      <w:r>
        <w:t>helping to reduce duplication and avoid over-consultation.</w:t>
      </w:r>
    </w:p>
    <w:p w14:paraId="4EDF8603" w14:textId="77777777" w:rsidR="00823CA9" w:rsidRDefault="00823CA9" w:rsidP="7B209F1D">
      <w:pPr>
        <w:jc w:val="both"/>
      </w:pPr>
    </w:p>
    <w:p w14:paraId="1ADDD24D" w14:textId="083E7E1B" w:rsidR="00BF7F0E" w:rsidRDefault="006E2A5A" w:rsidP="7B209F1D">
      <w:pPr>
        <w:jc w:val="both"/>
      </w:pPr>
      <w:r w:rsidRPr="7B209F1D">
        <w:t xml:space="preserve">Engagement </w:t>
      </w:r>
      <w:r w:rsidR="002256E6">
        <w:t>outcome</w:t>
      </w:r>
      <w:r w:rsidRPr="7B209F1D">
        <w:t xml:space="preserve">s will be reviewed, </w:t>
      </w:r>
      <w:r w:rsidR="00480372">
        <w:t xml:space="preserve">with </w:t>
      </w:r>
      <w:r w:rsidRPr="7B209F1D">
        <w:t>departments</w:t>
      </w:r>
      <w:r w:rsidR="00480372">
        <w:t xml:space="preserve"> expected to </w:t>
      </w:r>
      <w:r w:rsidRPr="7B209F1D">
        <w:t xml:space="preserve">report on </w:t>
      </w:r>
      <w:r w:rsidR="00480372">
        <w:t>how feedback has shaped proposals or decisions.</w:t>
      </w:r>
      <w:r w:rsidR="00BF7F0E">
        <w:t xml:space="preserve"> This process ensures transparency, accountability, and a clear link between citizen input and Council actions.</w:t>
      </w:r>
    </w:p>
    <w:p w14:paraId="3E3F3509" w14:textId="77777777" w:rsidR="0092328D" w:rsidRDefault="0092328D" w:rsidP="7B209F1D">
      <w:pPr>
        <w:jc w:val="both"/>
      </w:pPr>
    </w:p>
    <w:p w14:paraId="1E3FB6D9" w14:textId="0B99D7D6" w:rsidR="0092328D" w:rsidRDefault="0092328D" w:rsidP="7B209F1D">
      <w:pPr>
        <w:jc w:val="both"/>
      </w:pPr>
      <w:r>
        <w:t>Established feedback mechanisms support this approach. Citizens and communities are informed about how their input has been considered and used — for example, through published engagement summaries and the ‘</w:t>
      </w:r>
      <w:r w:rsidR="00AD2618">
        <w:t xml:space="preserve">We Asked, </w:t>
      </w:r>
      <w:r>
        <w:t>You Said, We Did’ section on the Council’s online consultation and engagement portal.</w:t>
      </w:r>
    </w:p>
    <w:p w14:paraId="3AA9F4B6" w14:textId="33B1F0F0" w:rsidR="00A67E10" w:rsidRPr="00402BB1" w:rsidRDefault="00115A3A" w:rsidP="7B209F1D">
      <w:pPr>
        <w:rPr>
          <w:b/>
          <w:bCs/>
        </w:rPr>
      </w:pPr>
      <w:r>
        <w:rPr>
          <w:b/>
          <w:bCs/>
        </w:rPr>
        <w:tab/>
      </w:r>
    </w:p>
    <w:p w14:paraId="0E912393" w14:textId="2F3B7F9D" w:rsidR="00A67E10" w:rsidRPr="006355BA" w:rsidRDefault="38C6ECB7" w:rsidP="006355BA">
      <w:pPr>
        <w:pStyle w:val="Heading1"/>
        <w:rPr>
          <w:rFonts w:ascii="Arial" w:hAnsi="Arial" w:cs="Arial"/>
          <w:b/>
          <w:bCs/>
          <w:color w:val="auto"/>
          <w:sz w:val="24"/>
          <w:szCs w:val="24"/>
        </w:rPr>
      </w:pPr>
      <w:bookmarkStart w:id="15" w:name="_Toc320244521"/>
      <w:r w:rsidRPr="5861C0E6">
        <w:rPr>
          <w:rFonts w:ascii="Arial" w:hAnsi="Arial" w:cs="Arial"/>
          <w:b/>
          <w:bCs/>
          <w:color w:val="auto"/>
          <w:sz w:val="24"/>
          <w:szCs w:val="24"/>
        </w:rPr>
        <w:t>FURTHER READING</w:t>
      </w:r>
      <w:bookmarkEnd w:id="15"/>
    </w:p>
    <w:p w14:paraId="409D11AC" w14:textId="77777777" w:rsidR="008733F8" w:rsidRPr="00B12757" w:rsidRDefault="008733F8" w:rsidP="7B209F1D">
      <w:pPr>
        <w:ind w:left="360"/>
        <w:rPr>
          <w:b/>
          <w:bCs/>
        </w:rPr>
      </w:pPr>
    </w:p>
    <w:p w14:paraId="1A2124E1" w14:textId="4D470B4F" w:rsidR="00F917F8" w:rsidRDefault="00174389" w:rsidP="7B209F1D">
      <w:pPr>
        <w:pStyle w:val="ListParagraph"/>
        <w:numPr>
          <w:ilvl w:val="0"/>
          <w:numId w:val="14"/>
        </w:numPr>
      </w:pPr>
      <w:hyperlink r:id="rId21">
        <w:r w:rsidRPr="7B209F1D">
          <w:rPr>
            <w:rStyle w:val="Hyperlink"/>
            <w:color w:val="auto"/>
          </w:rPr>
          <w:t>Local Government Association (LGA) Guidance on</w:t>
        </w:r>
        <w:r w:rsidR="00EF7001" w:rsidRPr="7B209F1D">
          <w:rPr>
            <w:rStyle w:val="Hyperlink"/>
            <w:color w:val="auto"/>
          </w:rPr>
          <w:t xml:space="preserve"> consulting residents</w:t>
        </w:r>
      </w:hyperlink>
    </w:p>
    <w:p w14:paraId="5B8D5E4D" w14:textId="77777777" w:rsidR="00E706B4" w:rsidRDefault="00E706B4" w:rsidP="7B209F1D">
      <w:pPr>
        <w:pStyle w:val="ListParagraph"/>
        <w:ind w:left="1070"/>
      </w:pPr>
    </w:p>
    <w:p w14:paraId="73763A6A" w14:textId="2693D5B1" w:rsidR="00EF7001" w:rsidRPr="005523CE" w:rsidRDefault="00677BA4" w:rsidP="00174389">
      <w:pPr>
        <w:pStyle w:val="ListParagraph"/>
        <w:numPr>
          <w:ilvl w:val="0"/>
          <w:numId w:val="14"/>
        </w:numPr>
        <w:rPr>
          <w:rStyle w:val="Hyperlink"/>
          <w:color w:val="auto"/>
          <w:u w:val="none"/>
        </w:rPr>
      </w:pPr>
      <w:hyperlink r:id="rId22">
        <w:r w:rsidRPr="7B209F1D">
          <w:rPr>
            <w:rStyle w:val="Hyperlink"/>
            <w:color w:val="auto"/>
          </w:rPr>
          <w:t>The Gunning Principles</w:t>
        </w:r>
      </w:hyperlink>
    </w:p>
    <w:p w14:paraId="340F4F80" w14:textId="77777777" w:rsidR="005523CE" w:rsidRDefault="005523CE" w:rsidP="7B209F1D">
      <w:pPr>
        <w:pStyle w:val="ListParagraph"/>
      </w:pPr>
    </w:p>
    <w:p w14:paraId="31527223" w14:textId="77777777" w:rsidR="005523CE" w:rsidRDefault="005523CE" w:rsidP="7B209F1D">
      <w:pPr>
        <w:pStyle w:val="ListParagraph"/>
        <w:numPr>
          <w:ilvl w:val="0"/>
          <w:numId w:val="14"/>
        </w:numPr>
      </w:pPr>
      <w:hyperlink r:id="rId23">
        <w:r w:rsidRPr="7B209F1D">
          <w:rPr>
            <w:rStyle w:val="Hyperlink"/>
            <w:color w:val="auto"/>
          </w:rPr>
          <w:t>Consumer Standards 2024</w:t>
        </w:r>
      </w:hyperlink>
    </w:p>
    <w:p w14:paraId="42F1634F" w14:textId="77777777" w:rsidR="005523CE" w:rsidRDefault="005523CE" w:rsidP="7B209F1D">
      <w:pPr>
        <w:pStyle w:val="ListParagraph"/>
      </w:pPr>
    </w:p>
    <w:p w14:paraId="5F711EF7" w14:textId="30819E74" w:rsidR="005523CE" w:rsidRDefault="005523CE" w:rsidP="7573BB88">
      <w:pPr>
        <w:pStyle w:val="ListParagraph"/>
        <w:numPr>
          <w:ilvl w:val="0"/>
          <w:numId w:val="14"/>
        </w:numPr>
        <w:rPr>
          <w:rStyle w:val="Hyperlink"/>
          <w:color w:val="auto"/>
        </w:rPr>
      </w:pPr>
      <w:hyperlink r:id="rId24">
        <w:r w:rsidRPr="7573BB88">
          <w:rPr>
            <w:rStyle w:val="Hyperlink"/>
            <w:color w:val="auto"/>
          </w:rPr>
          <w:t>Social Housing (Regulation) Act 2023</w:t>
        </w:r>
      </w:hyperlink>
    </w:p>
    <w:p w14:paraId="3372763D" w14:textId="1349553D" w:rsidR="2BDF7E0D" w:rsidRDefault="2BDF7E0D" w:rsidP="2BDF7E0D"/>
    <w:p w14:paraId="6858DC7B" w14:textId="77777777" w:rsidR="005523CE" w:rsidRPr="00DB32FF" w:rsidRDefault="005523CE" w:rsidP="7B209F1D">
      <w:pPr>
        <w:pStyle w:val="ListParagraph"/>
        <w:ind w:left="360"/>
      </w:pPr>
    </w:p>
    <w:sectPr w:rsidR="005523CE" w:rsidRPr="00DB32FF" w:rsidSect="0032188C">
      <w:headerReference w:type="default"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24B9" w14:textId="77777777" w:rsidR="00CF386B" w:rsidRDefault="00CF386B" w:rsidP="0082543A">
      <w:r>
        <w:separator/>
      </w:r>
    </w:p>
  </w:endnote>
  <w:endnote w:type="continuationSeparator" w:id="0">
    <w:p w14:paraId="385F8E77" w14:textId="77777777" w:rsidR="00CF386B" w:rsidRDefault="00CF386B" w:rsidP="0082543A">
      <w:r>
        <w:continuationSeparator/>
      </w:r>
    </w:p>
  </w:endnote>
  <w:endnote w:type="continuationNotice" w:id="1">
    <w:p w14:paraId="412BB652" w14:textId="77777777" w:rsidR="00CF386B" w:rsidRDefault="00CF3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6573" w14:textId="5972DC3C" w:rsidR="379D6A18" w:rsidRDefault="379D6A18" w:rsidP="379D6A18">
    <w:pPr>
      <w:pStyle w:val="Footer"/>
      <w:jc w:val="center"/>
    </w:pPr>
    <w:r>
      <w:fldChar w:fldCharType="begin"/>
    </w:r>
    <w:r>
      <w:instrText>PAGE</w:instrText>
    </w:r>
    <w:r>
      <w:fldChar w:fldCharType="separate"/>
    </w:r>
    <w:r w:rsidR="00446BAB">
      <w:rPr>
        <w:noProof/>
      </w:rPr>
      <w:t>1</w:t>
    </w:r>
    <w:r>
      <w:fldChar w:fldCharType="end"/>
    </w:r>
  </w:p>
  <w:p w14:paraId="09AC210C" w14:textId="011E049F" w:rsidR="379D6A18" w:rsidRDefault="379D6A18" w:rsidP="379D6A18">
    <w:pPr>
      <w:pStyle w:val="Footer"/>
      <w:jc w:val="center"/>
    </w:pPr>
  </w:p>
  <w:p w14:paraId="03729616" w14:textId="105E5BFD" w:rsidR="379D6A18" w:rsidRDefault="379D6A18" w:rsidP="379D6A18">
    <w:pPr>
      <w:pStyle w:val="Footer"/>
      <w:jc w:val="center"/>
    </w:pPr>
  </w:p>
  <w:sdt>
    <w:sdtPr>
      <w:id w:val="-1033564071"/>
      <w:showingPlcHdr/>
      <w:docPartObj>
        <w:docPartGallery w:val="Page Numbers (Bottom of Page)"/>
        <w:docPartUnique/>
      </w:docPartObj>
    </w:sdtPr>
    <w:sdtEndPr/>
    <w:sdtContent>
      <w:p w14:paraId="38CFCFCD" w14:textId="72387FB7" w:rsidR="0032188C" w:rsidRDefault="379D6A18" w:rsidP="379D6A18">
        <w:pPr>
          <w:pStyle w:val="Footer"/>
          <w:jc w:val="center"/>
          <w:rPr>
            <w:noProof/>
          </w:rPr>
        </w:pPr>
        <w:r>
          <w:t xml:space="preserve">     </w:t>
        </w:r>
      </w:p>
    </w:sdtContent>
  </w:sdt>
  <w:p w14:paraId="10E2F29D" w14:textId="77777777" w:rsidR="0032188C" w:rsidRDefault="00321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9AC4D7" w14:paraId="70E73C10" w14:textId="77777777" w:rsidTr="0D191D4C">
      <w:trPr>
        <w:trHeight w:val="300"/>
      </w:trPr>
      <w:tc>
        <w:tcPr>
          <w:tcW w:w="3005" w:type="dxa"/>
        </w:tcPr>
        <w:p w14:paraId="06BF618F" w14:textId="42DAD269" w:rsidR="6F9AC4D7" w:rsidRDefault="6F9AC4D7" w:rsidP="0D191D4C">
          <w:pPr>
            <w:pStyle w:val="Header"/>
            <w:ind w:left="-115"/>
          </w:pPr>
        </w:p>
      </w:tc>
      <w:tc>
        <w:tcPr>
          <w:tcW w:w="3005" w:type="dxa"/>
        </w:tcPr>
        <w:p w14:paraId="4A4CB245" w14:textId="62CA8305" w:rsidR="6F9AC4D7" w:rsidRDefault="6F9AC4D7" w:rsidP="0D191D4C">
          <w:pPr>
            <w:pStyle w:val="Header"/>
            <w:jc w:val="center"/>
          </w:pPr>
        </w:p>
      </w:tc>
      <w:tc>
        <w:tcPr>
          <w:tcW w:w="3005" w:type="dxa"/>
        </w:tcPr>
        <w:p w14:paraId="5F0AFA8F" w14:textId="15967B61" w:rsidR="6F9AC4D7" w:rsidRDefault="6F9AC4D7" w:rsidP="0D191D4C">
          <w:pPr>
            <w:pStyle w:val="Header"/>
            <w:ind w:right="-115"/>
            <w:jc w:val="right"/>
          </w:pPr>
        </w:p>
      </w:tc>
    </w:tr>
  </w:tbl>
  <w:p w14:paraId="406A5119" w14:textId="7D582AC9" w:rsidR="6F9AC4D7" w:rsidRDefault="6F9AC4D7" w:rsidP="0D19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797B" w14:textId="77777777" w:rsidR="00CF386B" w:rsidRDefault="00CF386B" w:rsidP="0082543A">
      <w:r>
        <w:separator/>
      </w:r>
    </w:p>
  </w:footnote>
  <w:footnote w:type="continuationSeparator" w:id="0">
    <w:p w14:paraId="1B904A54" w14:textId="77777777" w:rsidR="00CF386B" w:rsidRDefault="00CF386B" w:rsidP="0082543A">
      <w:r>
        <w:continuationSeparator/>
      </w:r>
    </w:p>
  </w:footnote>
  <w:footnote w:type="continuationNotice" w:id="1">
    <w:p w14:paraId="14FC42C2" w14:textId="77777777" w:rsidR="00CF386B" w:rsidRDefault="00CF386B"/>
  </w:footnote>
  <w:footnote w:id="2">
    <w:p w14:paraId="7C8E31FF" w14:textId="71553417" w:rsidR="00787E9F" w:rsidRDefault="00787E9F">
      <w:pPr>
        <w:pStyle w:val="FootnoteText"/>
      </w:pPr>
      <w:r>
        <w:rPr>
          <w:rStyle w:val="FootnoteReference"/>
        </w:rPr>
        <w:footnoteRef/>
      </w:r>
      <w:r>
        <w:t xml:space="preserve"> </w:t>
      </w:r>
      <w:hyperlink r:id="rId1" w:history="1">
        <w:r w:rsidR="001867A5" w:rsidRPr="00890414">
          <w:rPr>
            <w:rStyle w:val="Hyperlink"/>
          </w:rPr>
          <w:t>https://www.gov.uk/government/publications/consultation-principles-guidance</w:t>
        </w:r>
      </w:hyperlink>
      <w:r w:rsidR="001867A5">
        <w:t xml:space="preserve"> [accessed 14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DD1B" w14:textId="684F4981" w:rsidR="00FB5BDD" w:rsidRDefault="519CFC7A">
    <w:pPr>
      <w:pStyle w:val="Header"/>
    </w:pPr>
    <w:r>
      <w:t>Draft Citizen and Community Engagement Policy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9AC4D7" w14:paraId="2FD7B547" w14:textId="77777777" w:rsidTr="0D191D4C">
      <w:trPr>
        <w:trHeight w:val="300"/>
      </w:trPr>
      <w:tc>
        <w:tcPr>
          <w:tcW w:w="3005" w:type="dxa"/>
        </w:tcPr>
        <w:p w14:paraId="4312681C" w14:textId="1555A2F3" w:rsidR="6F9AC4D7" w:rsidRDefault="6F9AC4D7" w:rsidP="0D191D4C">
          <w:pPr>
            <w:pStyle w:val="Header"/>
            <w:ind w:left="-115"/>
          </w:pPr>
        </w:p>
      </w:tc>
      <w:tc>
        <w:tcPr>
          <w:tcW w:w="3005" w:type="dxa"/>
        </w:tcPr>
        <w:p w14:paraId="211790B2" w14:textId="0AB5F28E" w:rsidR="6F9AC4D7" w:rsidRDefault="6F9AC4D7" w:rsidP="0D191D4C">
          <w:pPr>
            <w:pStyle w:val="Header"/>
            <w:jc w:val="center"/>
          </w:pPr>
        </w:p>
      </w:tc>
      <w:tc>
        <w:tcPr>
          <w:tcW w:w="3005" w:type="dxa"/>
        </w:tcPr>
        <w:p w14:paraId="7D7B7E5C" w14:textId="735230AF" w:rsidR="6F9AC4D7" w:rsidRDefault="6F9AC4D7" w:rsidP="0D191D4C">
          <w:pPr>
            <w:pStyle w:val="Header"/>
            <w:ind w:right="-115"/>
            <w:jc w:val="right"/>
          </w:pPr>
        </w:p>
      </w:tc>
    </w:tr>
  </w:tbl>
  <w:p w14:paraId="3E1C104B" w14:textId="49D2893E" w:rsidR="6F9AC4D7" w:rsidRDefault="6F9AC4D7" w:rsidP="0D19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1C19"/>
    <w:multiLevelType w:val="hybridMultilevel"/>
    <w:tmpl w:val="71203D6E"/>
    <w:lvl w:ilvl="0" w:tplc="0FA6AA62">
      <w:start w:val="1"/>
      <w:numFmt w:val="bullet"/>
      <w:lvlText w:val=""/>
      <w:lvlJc w:val="left"/>
      <w:pPr>
        <w:ind w:left="720" w:hanging="360"/>
      </w:pPr>
      <w:rPr>
        <w:rFonts w:ascii="Symbol" w:hAnsi="Symbol" w:hint="default"/>
      </w:rPr>
    </w:lvl>
    <w:lvl w:ilvl="1" w:tplc="E6B8CB78">
      <w:start w:val="1"/>
      <w:numFmt w:val="bullet"/>
      <w:lvlText w:val="o"/>
      <w:lvlJc w:val="left"/>
      <w:pPr>
        <w:ind w:left="1440" w:hanging="360"/>
      </w:pPr>
      <w:rPr>
        <w:rFonts w:ascii="Courier New" w:hAnsi="Courier New" w:hint="default"/>
      </w:rPr>
    </w:lvl>
    <w:lvl w:ilvl="2" w:tplc="62DE7A5E">
      <w:start w:val="1"/>
      <w:numFmt w:val="bullet"/>
      <w:lvlText w:val=""/>
      <w:lvlJc w:val="left"/>
      <w:pPr>
        <w:ind w:left="2160" w:hanging="360"/>
      </w:pPr>
      <w:rPr>
        <w:rFonts w:ascii="Wingdings" w:hAnsi="Wingdings" w:hint="default"/>
      </w:rPr>
    </w:lvl>
    <w:lvl w:ilvl="3" w:tplc="CEAE75CA">
      <w:start w:val="1"/>
      <w:numFmt w:val="bullet"/>
      <w:lvlText w:val=""/>
      <w:lvlJc w:val="left"/>
      <w:pPr>
        <w:ind w:left="2880" w:hanging="360"/>
      </w:pPr>
      <w:rPr>
        <w:rFonts w:ascii="Symbol" w:hAnsi="Symbol" w:hint="default"/>
      </w:rPr>
    </w:lvl>
    <w:lvl w:ilvl="4" w:tplc="4716AE52">
      <w:start w:val="1"/>
      <w:numFmt w:val="bullet"/>
      <w:lvlText w:val="o"/>
      <w:lvlJc w:val="left"/>
      <w:pPr>
        <w:ind w:left="3600" w:hanging="360"/>
      </w:pPr>
      <w:rPr>
        <w:rFonts w:ascii="Courier New" w:hAnsi="Courier New" w:hint="default"/>
      </w:rPr>
    </w:lvl>
    <w:lvl w:ilvl="5" w:tplc="2104E4D0">
      <w:start w:val="1"/>
      <w:numFmt w:val="bullet"/>
      <w:lvlText w:val=""/>
      <w:lvlJc w:val="left"/>
      <w:pPr>
        <w:ind w:left="4320" w:hanging="360"/>
      </w:pPr>
      <w:rPr>
        <w:rFonts w:ascii="Wingdings" w:hAnsi="Wingdings" w:hint="default"/>
      </w:rPr>
    </w:lvl>
    <w:lvl w:ilvl="6" w:tplc="A6626C38">
      <w:start w:val="1"/>
      <w:numFmt w:val="bullet"/>
      <w:lvlText w:val=""/>
      <w:lvlJc w:val="left"/>
      <w:pPr>
        <w:ind w:left="5040" w:hanging="360"/>
      </w:pPr>
      <w:rPr>
        <w:rFonts w:ascii="Symbol" w:hAnsi="Symbol" w:hint="default"/>
      </w:rPr>
    </w:lvl>
    <w:lvl w:ilvl="7" w:tplc="0AB8719A">
      <w:start w:val="1"/>
      <w:numFmt w:val="bullet"/>
      <w:lvlText w:val="o"/>
      <w:lvlJc w:val="left"/>
      <w:pPr>
        <w:ind w:left="5760" w:hanging="360"/>
      </w:pPr>
      <w:rPr>
        <w:rFonts w:ascii="Courier New" w:hAnsi="Courier New" w:hint="default"/>
      </w:rPr>
    </w:lvl>
    <w:lvl w:ilvl="8" w:tplc="A030BAE4">
      <w:start w:val="1"/>
      <w:numFmt w:val="bullet"/>
      <w:lvlText w:val=""/>
      <w:lvlJc w:val="left"/>
      <w:pPr>
        <w:ind w:left="6480" w:hanging="360"/>
      </w:pPr>
      <w:rPr>
        <w:rFonts w:ascii="Wingdings" w:hAnsi="Wingdings" w:hint="default"/>
      </w:rPr>
    </w:lvl>
  </w:abstractNum>
  <w:abstractNum w:abstractNumId="1" w15:restartNumberingAfterBreak="0">
    <w:nsid w:val="0E72650C"/>
    <w:multiLevelType w:val="hybridMultilevel"/>
    <w:tmpl w:val="730C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13AB9"/>
    <w:multiLevelType w:val="hybridMultilevel"/>
    <w:tmpl w:val="F992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A5AC6"/>
    <w:multiLevelType w:val="hybridMultilevel"/>
    <w:tmpl w:val="3536DB2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26C17B84"/>
    <w:multiLevelType w:val="hybridMultilevel"/>
    <w:tmpl w:val="2B223FA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7664F1"/>
    <w:multiLevelType w:val="multilevel"/>
    <w:tmpl w:val="935C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863A7"/>
    <w:multiLevelType w:val="multilevel"/>
    <w:tmpl w:val="823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87C7E"/>
    <w:multiLevelType w:val="hybridMultilevel"/>
    <w:tmpl w:val="8DF6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555F4D"/>
    <w:multiLevelType w:val="hybridMultilevel"/>
    <w:tmpl w:val="3A58CE50"/>
    <w:lvl w:ilvl="0" w:tplc="A0E2A4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322BB2"/>
    <w:multiLevelType w:val="hybridMultilevel"/>
    <w:tmpl w:val="FFFFFFFF"/>
    <w:lvl w:ilvl="0" w:tplc="FFFFFFFF">
      <w:start w:val="1"/>
      <w:numFmt w:val="bullet"/>
      <w:lvlText w:val=""/>
      <w:lvlJc w:val="left"/>
      <w:pPr>
        <w:ind w:left="720" w:hanging="360"/>
      </w:pPr>
      <w:rPr>
        <w:rFonts w:ascii="Symbol" w:hAnsi="Symbol" w:hint="default"/>
      </w:rPr>
    </w:lvl>
    <w:lvl w:ilvl="1" w:tplc="15A02404">
      <w:start w:val="1"/>
      <w:numFmt w:val="bullet"/>
      <w:lvlText w:val="o"/>
      <w:lvlJc w:val="left"/>
      <w:pPr>
        <w:ind w:left="1440" w:hanging="360"/>
      </w:pPr>
      <w:rPr>
        <w:rFonts w:ascii="Courier New" w:hAnsi="Courier New" w:hint="default"/>
      </w:rPr>
    </w:lvl>
    <w:lvl w:ilvl="2" w:tplc="1B82AEE0">
      <w:start w:val="1"/>
      <w:numFmt w:val="bullet"/>
      <w:lvlText w:val=""/>
      <w:lvlJc w:val="left"/>
      <w:pPr>
        <w:ind w:left="2160" w:hanging="360"/>
      </w:pPr>
      <w:rPr>
        <w:rFonts w:ascii="Wingdings" w:hAnsi="Wingdings" w:hint="default"/>
      </w:rPr>
    </w:lvl>
    <w:lvl w:ilvl="3" w:tplc="360A65CA">
      <w:start w:val="1"/>
      <w:numFmt w:val="bullet"/>
      <w:lvlText w:val=""/>
      <w:lvlJc w:val="left"/>
      <w:pPr>
        <w:ind w:left="2880" w:hanging="360"/>
      </w:pPr>
      <w:rPr>
        <w:rFonts w:ascii="Symbol" w:hAnsi="Symbol" w:hint="default"/>
      </w:rPr>
    </w:lvl>
    <w:lvl w:ilvl="4" w:tplc="52E23280">
      <w:start w:val="1"/>
      <w:numFmt w:val="bullet"/>
      <w:lvlText w:val="o"/>
      <w:lvlJc w:val="left"/>
      <w:pPr>
        <w:ind w:left="3600" w:hanging="360"/>
      </w:pPr>
      <w:rPr>
        <w:rFonts w:ascii="Courier New" w:hAnsi="Courier New" w:hint="default"/>
      </w:rPr>
    </w:lvl>
    <w:lvl w:ilvl="5" w:tplc="C444D77E">
      <w:start w:val="1"/>
      <w:numFmt w:val="bullet"/>
      <w:lvlText w:val=""/>
      <w:lvlJc w:val="left"/>
      <w:pPr>
        <w:ind w:left="4320" w:hanging="360"/>
      </w:pPr>
      <w:rPr>
        <w:rFonts w:ascii="Wingdings" w:hAnsi="Wingdings" w:hint="default"/>
      </w:rPr>
    </w:lvl>
    <w:lvl w:ilvl="6" w:tplc="9D2E88AC">
      <w:start w:val="1"/>
      <w:numFmt w:val="bullet"/>
      <w:lvlText w:val=""/>
      <w:lvlJc w:val="left"/>
      <w:pPr>
        <w:ind w:left="5040" w:hanging="360"/>
      </w:pPr>
      <w:rPr>
        <w:rFonts w:ascii="Symbol" w:hAnsi="Symbol" w:hint="default"/>
      </w:rPr>
    </w:lvl>
    <w:lvl w:ilvl="7" w:tplc="D5CEF99A">
      <w:start w:val="1"/>
      <w:numFmt w:val="bullet"/>
      <w:lvlText w:val="o"/>
      <w:lvlJc w:val="left"/>
      <w:pPr>
        <w:ind w:left="5760" w:hanging="360"/>
      </w:pPr>
      <w:rPr>
        <w:rFonts w:ascii="Courier New" w:hAnsi="Courier New" w:hint="default"/>
      </w:rPr>
    </w:lvl>
    <w:lvl w:ilvl="8" w:tplc="2A963EEA">
      <w:start w:val="1"/>
      <w:numFmt w:val="bullet"/>
      <w:lvlText w:val=""/>
      <w:lvlJc w:val="left"/>
      <w:pPr>
        <w:ind w:left="6480" w:hanging="360"/>
      </w:pPr>
      <w:rPr>
        <w:rFonts w:ascii="Wingdings" w:hAnsi="Wingdings" w:hint="default"/>
      </w:rPr>
    </w:lvl>
  </w:abstractNum>
  <w:abstractNum w:abstractNumId="10" w15:restartNumberingAfterBreak="0">
    <w:nsid w:val="4533045D"/>
    <w:multiLevelType w:val="hybridMultilevel"/>
    <w:tmpl w:val="0E1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705B9"/>
    <w:multiLevelType w:val="hybridMultilevel"/>
    <w:tmpl w:val="99361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5D4B7F"/>
    <w:multiLevelType w:val="hybridMultilevel"/>
    <w:tmpl w:val="031E03D4"/>
    <w:lvl w:ilvl="0" w:tplc="20ACCE3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454E74"/>
    <w:multiLevelType w:val="hybridMultilevel"/>
    <w:tmpl w:val="461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172C6A"/>
    <w:multiLevelType w:val="hybridMultilevel"/>
    <w:tmpl w:val="3210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E6647F"/>
    <w:multiLevelType w:val="hybridMultilevel"/>
    <w:tmpl w:val="46102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8E54E8"/>
    <w:multiLevelType w:val="hybridMultilevel"/>
    <w:tmpl w:val="B11C3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00237"/>
    <w:multiLevelType w:val="hybridMultilevel"/>
    <w:tmpl w:val="5D1C7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10DE6"/>
    <w:multiLevelType w:val="hybridMultilevel"/>
    <w:tmpl w:val="DD06C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900FC2"/>
    <w:multiLevelType w:val="hybridMultilevel"/>
    <w:tmpl w:val="597C71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617958">
    <w:abstractNumId w:val="0"/>
  </w:num>
  <w:num w:numId="2" w16cid:durableId="303121672">
    <w:abstractNumId w:val="9"/>
  </w:num>
  <w:num w:numId="3" w16cid:durableId="574777386">
    <w:abstractNumId w:val="17"/>
  </w:num>
  <w:num w:numId="4" w16cid:durableId="600334291">
    <w:abstractNumId w:val="2"/>
  </w:num>
  <w:num w:numId="5" w16cid:durableId="998847179">
    <w:abstractNumId w:val="14"/>
  </w:num>
  <w:num w:numId="6" w16cid:durableId="1742023231">
    <w:abstractNumId w:val="16"/>
  </w:num>
  <w:num w:numId="7" w16cid:durableId="562183154">
    <w:abstractNumId w:val="13"/>
  </w:num>
  <w:num w:numId="8" w16cid:durableId="1188911769">
    <w:abstractNumId w:val="18"/>
  </w:num>
  <w:num w:numId="9" w16cid:durableId="1172644105">
    <w:abstractNumId w:val="11"/>
  </w:num>
  <w:num w:numId="10" w16cid:durableId="1673098303">
    <w:abstractNumId w:val="19"/>
  </w:num>
  <w:num w:numId="11" w16cid:durableId="1280380530">
    <w:abstractNumId w:val="12"/>
  </w:num>
  <w:num w:numId="12" w16cid:durableId="2056736335">
    <w:abstractNumId w:val="10"/>
  </w:num>
  <w:num w:numId="13" w16cid:durableId="1298494324">
    <w:abstractNumId w:val="3"/>
  </w:num>
  <w:num w:numId="14" w16cid:durableId="635573704">
    <w:abstractNumId w:val="7"/>
  </w:num>
  <w:num w:numId="15" w16cid:durableId="1357193715">
    <w:abstractNumId w:val="8"/>
  </w:num>
  <w:num w:numId="16" w16cid:durableId="1647081590">
    <w:abstractNumId w:val="4"/>
  </w:num>
  <w:num w:numId="17" w16cid:durableId="1301231967">
    <w:abstractNumId w:val="15"/>
  </w:num>
  <w:num w:numId="18" w16cid:durableId="2030451255">
    <w:abstractNumId w:val="1"/>
  </w:num>
  <w:num w:numId="19" w16cid:durableId="2058628675">
    <w:abstractNumId w:val="6"/>
  </w:num>
  <w:num w:numId="20" w16cid:durableId="1723286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3A"/>
    <w:rsid w:val="0000097A"/>
    <w:rsid w:val="00010F42"/>
    <w:rsid w:val="00014EE8"/>
    <w:rsid w:val="00015803"/>
    <w:rsid w:val="000166A8"/>
    <w:rsid w:val="0001768F"/>
    <w:rsid w:val="00023DF5"/>
    <w:rsid w:val="00025F34"/>
    <w:rsid w:val="00026D32"/>
    <w:rsid w:val="00033989"/>
    <w:rsid w:val="00033FBD"/>
    <w:rsid w:val="00035833"/>
    <w:rsid w:val="00040409"/>
    <w:rsid w:val="000410F9"/>
    <w:rsid w:val="000436EA"/>
    <w:rsid w:val="00043A90"/>
    <w:rsid w:val="000474C9"/>
    <w:rsid w:val="00050C08"/>
    <w:rsid w:val="000514A5"/>
    <w:rsid w:val="0005298F"/>
    <w:rsid w:val="00054A34"/>
    <w:rsid w:val="0005553C"/>
    <w:rsid w:val="00055A05"/>
    <w:rsid w:val="00057FAE"/>
    <w:rsid w:val="00065C7F"/>
    <w:rsid w:val="000664EE"/>
    <w:rsid w:val="00066EAC"/>
    <w:rsid w:val="00066F16"/>
    <w:rsid w:val="00071E13"/>
    <w:rsid w:val="00073E9C"/>
    <w:rsid w:val="000762B2"/>
    <w:rsid w:val="00082F6A"/>
    <w:rsid w:val="000849A8"/>
    <w:rsid w:val="000918C9"/>
    <w:rsid w:val="0009280B"/>
    <w:rsid w:val="000932A8"/>
    <w:rsid w:val="00096B59"/>
    <w:rsid w:val="000A17BD"/>
    <w:rsid w:val="000A2A41"/>
    <w:rsid w:val="000A3EBF"/>
    <w:rsid w:val="000A71E2"/>
    <w:rsid w:val="000B382F"/>
    <w:rsid w:val="000B4310"/>
    <w:rsid w:val="000B6975"/>
    <w:rsid w:val="000B801E"/>
    <w:rsid w:val="000C52AB"/>
    <w:rsid w:val="000C5709"/>
    <w:rsid w:val="000C7DA5"/>
    <w:rsid w:val="000D01F4"/>
    <w:rsid w:val="000D0610"/>
    <w:rsid w:val="000D12B5"/>
    <w:rsid w:val="000D2B4E"/>
    <w:rsid w:val="000D5422"/>
    <w:rsid w:val="000E2BD6"/>
    <w:rsid w:val="000E3985"/>
    <w:rsid w:val="000E57BD"/>
    <w:rsid w:val="000F0F97"/>
    <w:rsid w:val="000F5210"/>
    <w:rsid w:val="001044B0"/>
    <w:rsid w:val="00104C0E"/>
    <w:rsid w:val="00104C26"/>
    <w:rsid w:val="0010642B"/>
    <w:rsid w:val="00110F48"/>
    <w:rsid w:val="00115A3A"/>
    <w:rsid w:val="00116039"/>
    <w:rsid w:val="001223C1"/>
    <w:rsid w:val="00122E1D"/>
    <w:rsid w:val="00127A13"/>
    <w:rsid w:val="00130EA1"/>
    <w:rsid w:val="00131172"/>
    <w:rsid w:val="00131BCE"/>
    <w:rsid w:val="00132794"/>
    <w:rsid w:val="00133A0F"/>
    <w:rsid w:val="00137AEA"/>
    <w:rsid w:val="0014208B"/>
    <w:rsid w:val="001426D2"/>
    <w:rsid w:val="00144285"/>
    <w:rsid w:val="0014693A"/>
    <w:rsid w:val="001520DC"/>
    <w:rsid w:val="00154ACA"/>
    <w:rsid w:val="00155A73"/>
    <w:rsid w:val="00155D35"/>
    <w:rsid w:val="00156594"/>
    <w:rsid w:val="00156C5A"/>
    <w:rsid w:val="00160B61"/>
    <w:rsid w:val="0016208A"/>
    <w:rsid w:val="001666CD"/>
    <w:rsid w:val="00170FC9"/>
    <w:rsid w:val="00174389"/>
    <w:rsid w:val="00176044"/>
    <w:rsid w:val="00177068"/>
    <w:rsid w:val="0017AFE2"/>
    <w:rsid w:val="00182D92"/>
    <w:rsid w:val="00183182"/>
    <w:rsid w:val="00184F89"/>
    <w:rsid w:val="00185AC1"/>
    <w:rsid w:val="001867A5"/>
    <w:rsid w:val="00195C6B"/>
    <w:rsid w:val="001970A9"/>
    <w:rsid w:val="0019795C"/>
    <w:rsid w:val="001A166B"/>
    <w:rsid w:val="001A1828"/>
    <w:rsid w:val="001A3D8C"/>
    <w:rsid w:val="001A46DA"/>
    <w:rsid w:val="001A4D95"/>
    <w:rsid w:val="001A52EA"/>
    <w:rsid w:val="001A66F7"/>
    <w:rsid w:val="001B1363"/>
    <w:rsid w:val="001B4038"/>
    <w:rsid w:val="001B4D6C"/>
    <w:rsid w:val="001B4DA1"/>
    <w:rsid w:val="001B696C"/>
    <w:rsid w:val="001C3276"/>
    <w:rsid w:val="001D05B0"/>
    <w:rsid w:val="001D2338"/>
    <w:rsid w:val="001D46CD"/>
    <w:rsid w:val="001D7607"/>
    <w:rsid w:val="001D7ABC"/>
    <w:rsid w:val="001E0236"/>
    <w:rsid w:val="001E2575"/>
    <w:rsid w:val="001E314A"/>
    <w:rsid w:val="001E3F7B"/>
    <w:rsid w:val="001E5351"/>
    <w:rsid w:val="001E6DD9"/>
    <w:rsid w:val="001F2478"/>
    <w:rsid w:val="001F6897"/>
    <w:rsid w:val="001F6C52"/>
    <w:rsid w:val="00200AE7"/>
    <w:rsid w:val="00200FB6"/>
    <w:rsid w:val="00201A95"/>
    <w:rsid w:val="002020AA"/>
    <w:rsid w:val="00203B4E"/>
    <w:rsid w:val="00204C97"/>
    <w:rsid w:val="00205DBB"/>
    <w:rsid w:val="00210136"/>
    <w:rsid w:val="002113E6"/>
    <w:rsid w:val="00212666"/>
    <w:rsid w:val="002151D7"/>
    <w:rsid w:val="00221AB8"/>
    <w:rsid w:val="00224128"/>
    <w:rsid w:val="002256E6"/>
    <w:rsid w:val="0022708B"/>
    <w:rsid w:val="00232024"/>
    <w:rsid w:val="0023725E"/>
    <w:rsid w:val="00242A43"/>
    <w:rsid w:val="00243098"/>
    <w:rsid w:val="0025408F"/>
    <w:rsid w:val="00256C3C"/>
    <w:rsid w:val="00256FEC"/>
    <w:rsid w:val="002640A7"/>
    <w:rsid w:val="00264EDB"/>
    <w:rsid w:val="00266648"/>
    <w:rsid w:val="002675E7"/>
    <w:rsid w:val="00267A18"/>
    <w:rsid w:val="002709DB"/>
    <w:rsid w:val="002723D4"/>
    <w:rsid w:val="00272A3D"/>
    <w:rsid w:val="00275855"/>
    <w:rsid w:val="0027C7EB"/>
    <w:rsid w:val="00283DCC"/>
    <w:rsid w:val="00284075"/>
    <w:rsid w:val="002846ED"/>
    <w:rsid w:val="00286D94"/>
    <w:rsid w:val="00286F0A"/>
    <w:rsid w:val="0028751B"/>
    <w:rsid w:val="00287BF0"/>
    <w:rsid w:val="00290B16"/>
    <w:rsid w:val="00292E9E"/>
    <w:rsid w:val="002952D9"/>
    <w:rsid w:val="00296DEE"/>
    <w:rsid w:val="002A1075"/>
    <w:rsid w:val="002A1BE9"/>
    <w:rsid w:val="002A20E3"/>
    <w:rsid w:val="002A76B7"/>
    <w:rsid w:val="002B0875"/>
    <w:rsid w:val="002B0CC2"/>
    <w:rsid w:val="002B1324"/>
    <w:rsid w:val="002B3FE3"/>
    <w:rsid w:val="002B5323"/>
    <w:rsid w:val="002C14ED"/>
    <w:rsid w:val="002C4203"/>
    <w:rsid w:val="002D3412"/>
    <w:rsid w:val="002D4A57"/>
    <w:rsid w:val="002D5562"/>
    <w:rsid w:val="002D730B"/>
    <w:rsid w:val="002E013F"/>
    <w:rsid w:val="002E33DE"/>
    <w:rsid w:val="002F3008"/>
    <w:rsid w:val="002F3452"/>
    <w:rsid w:val="002F35EF"/>
    <w:rsid w:val="002F603E"/>
    <w:rsid w:val="00301A54"/>
    <w:rsid w:val="00304D39"/>
    <w:rsid w:val="00306083"/>
    <w:rsid w:val="00312876"/>
    <w:rsid w:val="0031465F"/>
    <w:rsid w:val="00316D88"/>
    <w:rsid w:val="0032188C"/>
    <w:rsid w:val="00322331"/>
    <w:rsid w:val="0032360C"/>
    <w:rsid w:val="003246EC"/>
    <w:rsid w:val="00327477"/>
    <w:rsid w:val="003303C4"/>
    <w:rsid w:val="00330791"/>
    <w:rsid w:val="00331A4D"/>
    <w:rsid w:val="003329AF"/>
    <w:rsid w:val="00334B51"/>
    <w:rsid w:val="003360C5"/>
    <w:rsid w:val="003376F1"/>
    <w:rsid w:val="00344B10"/>
    <w:rsid w:val="00344BEE"/>
    <w:rsid w:val="003478BB"/>
    <w:rsid w:val="003525BE"/>
    <w:rsid w:val="00352623"/>
    <w:rsid w:val="00355EE2"/>
    <w:rsid w:val="00355F2F"/>
    <w:rsid w:val="00362953"/>
    <w:rsid w:val="00367FB4"/>
    <w:rsid w:val="00372BA3"/>
    <w:rsid w:val="00374283"/>
    <w:rsid w:val="00374D25"/>
    <w:rsid w:val="00380FA0"/>
    <w:rsid w:val="0038136B"/>
    <w:rsid w:val="00384FCA"/>
    <w:rsid w:val="00386673"/>
    <w:rsid w:val="00386D37"/>
    <w:rsid w:val="00390B62"/>
    <w:rsid w:val="003958FA"/>
    <w:rsid w:val="00397337"/>
    <w:rsid w:val="003A176B"/>
    <w:rsid w:val="003A1C34"/>
    <w:rsid w:val="003A7A4C"/>
    <w:rsid w:val="003B1C40"/>
    <w:rsid w:val="003C268C"/>
    <w:rsid w:val="003D28EB"/>
    <w:rsid w:val="003D582C"/>
    <w:rsid w:val="003D64F6"/>
    <w:rsid w:val="003E0833"/>
    <w:rsid w:val="003E0DC1"/>
    <w:rsid w:val="003E3FC3"/>
    <w:rsid w:val="003E41C0"/>
    <w:rsid w:val="003E637B"/>
    <w:rsid w:val="003E6721"/>
    <w:rsid w:val="003E67B7"/>
    <w:rsid w:val="003E6DAF"/>
    <w:rsid w:val="003F475D"/>
    <w:rsid w:val="003F7A95"/>
    <w:rsid w:val="004000D7"/>
    <w:rsid w:val="00402BB1"/>
    <w:rsid w:val="00406D02"/>
    <w:rsid w:val="004126D4"/>
    <w:rsid w:val="00412B15"/>
    <w:rsid w:val="00415083"/>
    <w:rsid w:val="00415BCF"/>
    <w:rsid w:val="00420A25"/>
    <w:rsid w:val="0043083B"/>
    <w:rsid w:val="00436179"/>
    <w:rsid w:val="004364E2"/>
    <w:rsid w:val="00442732"/>
    <w:rsid w:val="00442EC4"/>
    <w:rsid w:val="00444C19"/>
    <w:rsid w:val="00445545"/>
    <w:rsid w:val="00445D72"/>
    <w:rsid w:val="00446BAB"/>
    <w:rsid w:val="00447ECA"/>
    <w:rsid w:val="0045131B"/>
    <w:rsid w:val="004518FB"/>
    <w:rsid w:val="004519D5"/>
    <w:rsid w:val="00452406"/>
    <w:rsid w:val="00460186"/>
    <w:rsid w:val="00460276"/>
    <w:rsid w:val="004640BC"/>
    <w:rsid w:val="004654CB"/>
    <w:rsid w:val="00475409"/>
    <w:rsid w:val="00480372"/>
    <w:rsid w:val="0048460E"/>
    <w:rsid w:val="00485BB7"/>
    <w:rsid w:val="00486D71"/>
    <w:rsid w:val="00491D86"/>
    <w:rsid w:val="0049620C"/>
    <w:rsid w:val="00496C6F"/>
    <w:rsid w:val="004A681D"/>
    <w:rsid w:val="004A74BC"/>
    <w:rsid w:val="004B3907"/>
    <w:rsid w:val="004C03E9"/>
    <w:rsid w:val="004C300B"/>
    <w:rsid w:val="004C3AA3"/>
    <w:rsid w:val="004C46E7"/>
    <w:rsid w:val="004C539C"/>
    <w:rsid w:val="004C5973"/>
    <w:rsid w:val="004C5B73"/>
    <w:rsid w:val="004C5E66"/>
    <w:rsid w:val="004C61DA"/>
    <w:rsid w:val="004C7361"/>
    <w:rsid w:val="004D0011"/>
    <w:rsid w:val="004D01CD"/>
    <w:rsid w:val="004D3476"/>
    <w:rsid w:val="004E3653"/>
    <w:rsid w:val="004E66F7"/>
    <w:rsid w:val="004F1A86"/>
    <w:rsid w:val="004F23F5"/>
    <w:rsid w:val="004F269C"/>
    <w:rsid w:val="004F4962"/>
    <w:rsid w:val="004F6ABB"/>
    <w:rsid w:val="004F6B67"/>
    <w:rsid w:val="00500745"/>
    <w:rsid w:val="005007AF"/>
    <w:rsid w:val="00501839"/>
    <w:rsid w:val="005027AD"/>
    <w:rsid w:val="0050392B"/>
    <w:rsid w:val="00504490"/>
    <w:rsid w:val="00504E43"/>
    <w:rsid w:val="005055DD"/>
    <w:rsid w:val="00505CC0"/>
    <w:rsid w:val="00510F21"/>
    <w:rsid w:val="00511E42"/>
    <w:rsid w:val="00512AC4"/>
    <w:rsid w:val="00515AFB"/>
    <w:rsid w:val="00520EC8"/>
    <w:rsid w:val="0052189C"/>
    <w:rsid w:val="00525659"/>
    <w:rsid w:val="005258F2"/>
    <w:rsid w:val="00530EC7"/>
    <w:rsid w:val="0053118E"/>
    <w:rsid w:val="005346D1"/>
    <w:rsid w:val="00535768"/>
    <w:rsid w:val="005362D1"/>
    <w:rsid w:val="00541596"/>
    <w:rsid w:val="00541DB6"/>
    <w:rsid w:val="005422CF"/>
    <w:rsid w:val="00543AB7"/>
    <w:rsid w:val="00544AE1"/>
    <w:rsid w:val="00550396"/>
    <w:rsid w:val="005511F9"/>
    <w:rsid w:val="005523CE"/>
    <w:rsid w:val="00552F07"/>
    <w:rsid w:val="00554D3E"/>
    <w:rsid w:val="005573F5"/>
    <w:rsid w:val="00560BA2"/>
    <w:rsid w:val="005659BB"/>
    <w:rsid w:val="005667E4"/>
    <w:rsid w:val="005715B6"/>
    <w:rsid w:val="00571750"/>
    <w:rsid w:val="00577833"/>
    <w:rsid w:val="00577CC2"/>
    <w:rsid w:val="00581D0C"/>
    <w:rsid w:val="00586D06"/>
    <w:rsid w:val="005877F9"/>
    <w:rsid w:val="005902EA"/>
    <w:rsid w:val="00592ABD"/>
    <w:rsid w:val="00592C6D"/>
    <w:rsid w:val="00592EFF"/>
    <w:rsid w:val="00597BF6"/>
    <w:rsid w:val="005A0B8C"/>
    <w:rsid w:val="005A4616"/>
    <w:rsid w:val="005B6A70"/>
    <w:rsid w:val="005C034F"/>
    <w:rsid w:val="005C04E8"/>
    <w:rsid w:val="005C102E"/>
    <w:rsid w:val="005C2327"/>
    <w:rsid w:val="005C6733"/>
    <w:rsid w:val="005D180F"/>
    <w:rsid w:val="005D2254"/>
    <w:rsid w:val="005D3E34"/>
    <w:rsid w:val="005D5DA2"/>
    <w:rsid w:val="005D7646"/>
    <w:rsid w:val="005D7B31"/>
    <w:rsid w:val="005E25CE"/>
    <w:rsid w:val="005E6FAC"/>
    <w:rsid w:val="005E7F60"/>
    <w:rsid w:val="005F0CC4"/>
    <w:rsid w:val="005F17FD"/>
    <w:rsid w:val="005F2B7F"/>
    <w:rsid w:val="005F4FDF"/>
    <w:rsid w:val="006008F0"/>
    <w:rsid w:val="006015E3"/>
    <w:rsid w:val="00606AB9"/>
    <w:rsid w:val="00607642"/>
    <w:rsid w:val="006102F2"/>
    <w:rsid w:val="006103E6"/>
    <w:rsid w:val="006106D9"/>
    <w:rsid w:val="0061609C"/>
    <w:rsid w:val="00617EA8"/>
    <w:rsid w:val="006237D8"/>
    <w:rsid w:val="0062665A"/>
    <w:rsid w:val="00627CEE"/>
    <w:rsid w:val="006306D9"/>
    <w:rsid w:val="006314A3"/>
    <w:rsid w:val="00633C69"/>
    <w:rsid w:val="006355BA"/>
    <w:rsid w:val="0063645C"/>
    <w:rsid w:val="00643BC4"/>
    <w:rsid w:val="00646851"/>
    <w:rsid w:val="006552AC"/>
    <w:rsid w:val="0066041D"/>
    <w:rsid w:val="006608B9"/>
    <w:rsid w:val="00660F58"/>
    <w:rsid w:val="006641F3"/>
    <w:rsid w:val="006644F0"/>
    <w:rsid w:val="00664E6A"/>
    <w:rsid w:val="00666228"/>
    <w:rsid w:val="00666CE6"/>
    <w:rsid w:val="00670925"/>
    <w:rsid w:val="00673FDB"/>
    <w:rsid w:val="006742C6"/>
    <w:rsid w:val="0067632D"/>
    <w:rsid w:val="0067698C"/>
    <w:rsid w:val="00677161"/>
    <w:rsid w:val="00677BA4"/>
    <w:rsid w:val="00680890"/>
    <w:rsid w:val="006820AF"/>
    <w:rsid w:val="006832F2"/>
    <w:rsid w:val="00683E2E"/>
    <w:rsid w:val="00684ADA"/>
    <w:rsid w:val="00684F0A"/>
    <w:rsid w:val="00687F32"/>
    <w:rsid w:val="0069216E"/>
    <w:rsid w:val="00693133"/>
    <w:rsid w:val="00696517"/>
    <w:rsid w:val="006A0978"/>
    <w:rsid w:val="006A2806"/>
    <w:rsid w:val="006B30FE"/>
    <w:rsid w:val="006C51BB"/>
    <w:rsid w:val="006C623F"/>
    <w:rsid w:val="006C6D2C"/>
    <w:rsid w:val="006C777C"/>
    <w:rsid w:val="006D0D56"/>
    <w:rsid w:val="006D4E01"/>
    <w:rsid w:val="006E04BD"/>
    <w:rsid w:val="006E2A5A"/>
    <w:rsid w:val="006E33A4"/>
    <w:rsid w:val="006E3C96"/>
    <w:rsid w:val="006E485E"/>
    <w:rsid w:val="006E4DE5"/>
    <w:rsid w:val="006E6AEE"/>
    <w:rsid w:val="006F0DEF"/>
    <w:rsid w:val="006F3EDA"/>
    <w:rsid w:val="006F4493"/>
    <w:rsid w:val="006F6EEE"/>
    <w:rsid w:val="006F7FF1"/>
    <w:rsid w:val="00702AF6"/>
    <w:rsid w:val="00705BA3"/>
    <w:rsid w:val="00705D7F"/>
    <w:rsid w:val="00707486"/>
    <w:rsid w:val="00712467"/>
    <w:rsid w:val="00714E1E"/>
    <w:rsid w:val="00714F21"/>
    <w:rsid w:val="00715BE4"/>
    <w:rsid w:val="00715CD8"/>
    <w:rsid w:val="00715E57"/>
    <w:rsid w:val="00722D53"/>
    <w:rsid w:val="00723281"/>
    <w:rsid w:val="00734390"/>
    <w:rsid w:val="00735A6C"/>
    <w:rsid w:val="00737364"/>
    <w:rsid w:val="00737ABB"/>
    <w:rsid w:val="007441BC"/>
    <w:rsid w:val="007477EC"/>
    <w:rsid w:val="00750851"/>
    <w:rsid w:val="0075316B"/>
    <w:rsid w:val="00754954"/>
    <w:rsid w:val="00754AD0"/>
    <w:rsid w:val="00754FBF"/>
    <w:rsid w:val="007554F4"/>
    <w:rsid w:val="00756DE2"/>
    <w:rsid w:val="007572D2"/>
    <w:rsid w:val="0076031B"/>
    <w:rsid w:val="0076226F"/>
    <w:rsid w:val="00763C5D"/>
    <w:rsid w:val="00770238"/>
    <w:rsid w:val="00777D39"/>
    <w:rsid w:val="0078182E"/>
    <w:rsid w:val="007822E3"/>
    <w:rsid w:val="007833FB"/>
    <w:rsid w:val="0078394C"/>
    <w:rsid w:val="00787E9F"/>
    <w:rsid w:val="007902B5"/>
    <w:rsid w:val="007908F4"/>
    <w:rsid w:val="00790EDA"/>
    <w:rsid w:val="00791E7B"/>
    <w:rsid w:val="00794A8C"/>
    <w:rsid w:val="00795AD9"/>
    <w:rsid w:val="00796FA8"/>
    <w:rsid w:val="007A08E7"/>
    <w:rsid w:val="007A1DF1"/>
    <w:rsid w:val="007A6F2F"/>
    <w:rsid w:val="007B2C12"/>
    <w:rsid w:val="007B2F58"/>
    <w:rsid w:val="007B352D"/>
    <w:rsid w:val="007B5101"/>
    <w:rsid w:val="007C00C8"/>
    <w:rsid w:val="007D0B80"/>
    <w:rsid w:val="007D24B1"/>
    <w:rsid w:val="007D2879"/>
    <w:rsid w:val="007D3DFA"/>
    <w:rsid w:val="007D3E5A"/>
    <w:rsid w:val="007D45F1"/>
    <w:rsid w:val="007D55D0"/>
    <w:rsid w:val="007D6508"/>
    <w:rsid w:val="007D70B6"/>
    <w:rsid w:val="007D741C"/>
    <w:rsid w:val="007E1027"/>
    <w:rsid w:val="007E420C"/>
    <w:rsid w:val="007E5D73"/>
    <w:rsid w:val="007E6011"/>
    <w:rsid w:val="007E63FC"/>
    <w:rsid w:val="007E658F"/>
    <w:rsid w:val="007F1980"/>
    <w:rsid w:val="007F3B1C"/>
    <w:rsid w:val="007F3D35"/>
    <w:rsid w:val="007F52BD"/>
    <w:rsid w:val="007F6CDD"/>
    <w:rsid w:val="007F7BD1"/>
    <w:rsid w:val="00800153"/>
    <w:rsid w:val="00806ED9"/>
    <w:rsid w:val="008103EB"/>
    <w:rsid w:val="0081421E"/>
    <w:rsid w:val="00814871"/>
    <w:rsid w:val="008171E2"/>
    <w:rsid w:val="00817951"/>
    <w:rsid w:val="008217E5"/>
    <w:rsid w:val="00822799"/>
    <w:rsid w:val="00823518"/>
    <w:rsid w:val="00823CA9"/>
    <w:rsid w:val="00823F0F"/>
    <w:rsid w:val="0082543A"/>
    <w:rsid w:val="00826451"/>
    <w:rsid w:val="00831479"/>
    <w:rsid w:val="00835E82"/>
    <w:rsid w:val="0083731C"/>
    <w:rsid w:val="00841C6A"/>
    <w:rsid w:val="00844BE5"/>
    <w:rsid w:val="00845044"/>
    <w:rsid w:val="0085014B"/>
    <w:rsid w:val="00853E06"/>
    <w:rsid w:val="008622A4"/>
    <w:rsid w:val="00862DDF"/>
    <w:rsid w:val="00862DE4"/>
    <w:rsid w:val="00863A6F"/>
    <w:rsid w:val="008670DE"/>
    <w:rsid w:val="00872BA9"/>
    <w:rsid w:val="00872EA2"/>
    <w:rsid w:val="008733F8"/>
    <w:rsid w:val="00874105"/>
    <w:rsid w:val="0087584B"/>
    <w:rsid w:val="00881F8D"/>
    <w:rsid w:val="00882862"/>
    <w:rsid w:val="00883F3D"/>
    <w:rsid w:val="00890A3F"/>
    <w:rsid w:val="008918C0"/>
    <w:rsid w:val="00893850"/>
    <w:rsid w:val="00894BF4"/>
    <w:rsid w:val="0089588C"/>
    <w:rsid w:val="00895969"/>
    <w:rsid w:val="0089608A"/>
    <w:rsid w:val="008A08DA"/>
    <w:rsid w:val="008A22C6"/>
    <w:rsid w:val="008A48FB"/>
    <w:rsid w:val="008A58FA"/>
    <w:rsid w:val="008A6638"/>
    <w:rsid w:val="008B18F1"/>
    <w:rsid w:val="008B444D"/>
    <w:rsid w:val="008B6865"/>
    <w:rsid w:val="008B73A8"/>
    <w:rsid w:val="008C0F30"/>
    <w:rsid w:val="008D2326"/>
    <w:rsid w:val="008E0E43"/>
    <w:rsid w:val="008E1575"/>
    <w:rsid w:val="008E1882"/>
    <w:rsid w:val="008E5B7F"/>
    <w:rsid w:val="008F0983"/>
    <w:rsid w:val="009018B8"/>
    <w:rsid w:val="00902CAA"/>
    <w:rsid w:val="00903813"/>
    <w:rsid w:val="009046E9"/>
    <w:rsid w:val="00904AF3"/>
    <w:rsid w:val="00905328"/>
    <w:rsid w:val="009061F1"/>
    <w:rsid w:val="009125EB"/>
    <w:rsid w:val="00912B44"/>
    <w:rsid w:val="00915B8C"/>
    <w:rsid w:val="00917E83"/>
    <w:rsid w:val="00920287"/>
    <w:rsid w:val="009226C8"/>
    <w:rsid w:val="0092328D"/>
    <w:rsid w:val="00925766"/>
    <w:rsid w:val="00927603"/>
    <w:rsid w:val="00931492"/>
    <w:rsid w:val="00935FCF"/>
    <w:rsid w:val="00937A9B"/>
    <w:rsid w:val="009432E0"/>
    <w:rsid w:val="00943D5B"/>
    <w:rsid w:val="0094506D"/>
    <w:rsid w:val="00945E09"/>
    <w:rsid w:val="009520AF"/>
    <w:rsid w:val="00953C9B"/>
    <w:rsid w:val="00953D34"/>
    <w:rsid w:val="00956F6F"/>
    <w:rsid w:val="0096176F"/>
    <w:rsid w:val="00962BFE"/>
    <w:rsid w:val="00963944"/>
    <w:rsid w:val="00965AD3"/>
    <w:rsid w:val="00974FD7"/>
    <w:rsid w:val="00977008"/>
    <w:rsid w:val="009815AD"/>
    <w:rsid w:val="00984C59"/>
    <w:rsid w:val="00993511"/>
    <w:rsid w:val="00997131"/>
    <w:rsid w:val="009978D3"/>
    <w:rsid w:val="009A1664"/>
    <w:rsid w:val="009A3B24"/>
    <w:rsid w:val="009A46EF"/>
    <w:rsid w:val="009A5985"/>
    <w:rsid w:val="009A6A9F"/>
    <w:rsid w:val="009B189F"/>
    <w:rsid w:val="009C45D2"/>
    <w:rsid w:val="009C4A0D"/>
    <w:rsid w:val="009C6AEF"/>
    <w:rsid w:val="009C724E"/>
    <w:rsid w:val="009D3FBD"/>
    <w:rsid w:val="009D66CA"/>
    <w:rsid w:val="009E360B"/>
    <w:rsid w:val="009E7E67"/>
    <w:rsid w:val="009F0353"/>
    <w:rsid w:val="009F17C2"/>
    <w:rsid w:val="009F559F"/>
    <w:rsid w:val="00A0337E"/>
    <w:rsid w:val="00A0684C"/>
    <w:rsid w:val="00A06E9E"/>
    <w:rsid w:val="00A1531D"/>
    <w:rsid w:val="00A220C8"/>
    <w:rsid w:val="00A226C9"/>
    <w:rsid w:val="00A26B29"/>
    <w:rsid w:val="00A303A2"/>
    <w:rsid w:val="00A330D4"/>
    <w:rsid w:val="00A42B7D"/>
    <w:rsid w:val="00A52003"/>
    <w:rsid w:val="00A52782"/>
    <w:rsid w:val="00A530D0"/>
    <w:rsid w:val="00A5321A"/>
    <w:rsid w:val="00A53959"/>
    <w:rsid w:val="00A540C1"/>
    <w:rsid w:val="00A61E5F"/>
    <w:rsid w:val="00A627B1"/>
    <w:rsid w:val="00A64848"/>
    <w:rsid w:val="00A64850"/>
    <w:rsid w:val="00A64894"/>
    <w:rsid w:val="00A664B8"/>
    <w:rsid w:val="00A67E10"/>
    <w:rsid w:val="00A72C24"/>
    <w:rsid w:val="00A72E6F"/>
    <w:rsid w:val="00A73772"/>
    <w:rsid w:val="00A73BCE"/>
    <w:rsid w:val="00A74527"/>
    <w:rsid w:val="00A74BC2"/>
    <w:rsid w:val="00A76F53"/>
    <w:rsid w:val="00A774B5"/>
    <w:rsid w:val="00A80552"/>
    <w:rsid w:val="00A808B7"/>
    <w:rsid w:val="00A81448"/>
    <w:rsid w:val="00A81E2C"/>
    <w:rsid w:val="00A82F38"/>
    <w:rsid w:val="00A87083"/>
    <w:rsid w:val="00A917A8"/>
    <w:rsid w:val="00A91A9D"/>
    <w:rsid w:val="00A92DB2"/>
    <w:rsid w:val="00A93E64"/>
    <w:rsid w:val="00A969D6"/>
    <w:rsid w:val="00A97FEE"/>
    <w:rsid w:val="00AA28FD"/>
    <w:rsid w:val="00AA46C5"/>
    <w:rsid w:val="00AA4701"/>
    <w:rsid w:val="00AA47E3"/>
    <w:rsid w:val="00AB138E"/>
    <w:rsid w:val="00AB1C56"/>
    <w:rsid w:val="00AB1EC9"/>
    <w:rsid w:val="00AB3880"/>
    <w:rsid w:val="00AB5F31"/>
    <w:rsid w:val="00AB7F7E"/>
    <w:rsid w:val="00AC3773"/>
    <w:rsid w:val="00AC3E21"/>
    <w:rsid w:val="00AC7EB0"/>
    <w:rsid w:val="00AD2618"/>
    <w:rsid w:val="00AD44CD"/>
    <w:rsid w:val="00AD4753"/>
    <w:rsid w:val="00AD490B"/>
    <w:rsid w:val="00AE2F97"/>
    <w:rsid w:val="00AE4EA9"/>
    <w:rsid w:val="00AE5E61"/>
    <w:rsid w:val="00AF064C"/>
    <w:rsid w:val="00AF0FD8"/>
    <w:rsid w:val="00AF21FF"/>
    <w:rsid w:val="00B0023E"/>
    <w:rsid w:val="00B1046C"/>
    <w:rsid w:val="00B11CBD"/>
    <w:rsid w:val="00B12757"/>
    <w:rsid w:val="00B12A8F"/>
    <w:rsid w:val="00B12BB9"/>
    <w:rsid w:val="00B156FF"/>
    <w:rsid w:val="00B17909"/>
    <w:rsid w:val="00B202BF"/>
    <w:rsid w:val="00B221FE"/>
    <w:rsid w:val="00B22786"/>
    <w:rsid w:val="00B2377B"/>
    <w:rsid w:val="00B2426E"/>
    <w:rsid w:val="00B256F9"/>
    <w:rsid w:val="00B25C71"/>
    <w:rsid w:val="00B2A69C"/>
    <w:rsid w:val="00B342E3"/>
    <w:rsid w:val="00B40FD8"/>
    <w:rsid w:val="00B43E22"/>
    <w:rsid w:val="00B47571"/>
    <w:rsid w:val="00B47CA1"/>
    <w:rsid w:val="00B52A66"/>
    <w:rsid w:val="00B55BA7"/>
    <w:rsid w:val="00B56C8C"/>
    <w:rsid w:val="00B71203"/>
    <w:rsid w:val="00B742C8"/>
    <w:rsid w:val="00B7622E"/>
    <w:rsid w:val="00B819DE"/>
    <w:rsid w:val="00B81DA1"/>
    <w:rsid w:val="00B83C95"/>
    <w:rsid w:val="00B92DAF"/>
    <w:rsid w:val="00B93651"/>
    <w:rsid w:val="00B947B7"/>
    <w:rsid w:val="00B9580F"/>
    <w:rsid w:val="00B965F2"/>
    <w:rsid w:val="00BA02C3"/>
    <w:rsid w:val="00BA04EF"/>
    <w:rsid w:val="00BA36F4"/>
    <w:rsid w:val="00BA47CD"/>
    <w:rsid w:val="00BB1C9C"/>
    <w:rsid w:val="00BB280C"/>
    <w:rsid w:val="00BB28A2"/>
    <w:rsid w:val="00BB3E21"/>
    <w:rsid w:val="00BB464E"/>
    <w:rsid w:val="00BB4BD4"/>
    <w:rsid w:val="00BB765D"/>
    <w:rsid w:val="00BC1730"/>
    <w:rsid w:val="00BC2A61"/>
    <w:rsid w:val="00BD05B8"/>
    <w:rsid w:val="00BE0570"/>
    <w:rsid w:val="00BE52B0"/>
    <w:rsid w:val="00BF71BC"/>
    <w:rsid w:val="00BF7F0E"/>
    <w:rsid w:val="00C018D7"/>
    <w:rsid w:val="00C07F80"/>
    <w:rsid w:val="00C16119"/>
    <w:rsid w:val="00C2012C"/>
    <w:rsid w:val="00C208B4"/>
    <w:rsid w:val="00C22829"/>
    <w:rsid w:val="00C23AFF"/>
    <w:rsid w:val="00C24728"/>
    <w:rsid w:val="00C247E0"/>
    <w:rsid w:val="00C25951"/>
    <w:rsid w:val="00C263B5"/>
    <w:rsid w:val="00C26602"/>
    <w:rsid w:val="00C27809"/>
    <w:rsid w:val="00C3212C"/>
    <w:rsid w:val="00C338EB"/>
    <w:rsid w:val="00C33C32"/>
    <w:rsid w:val="00C34AC6"/>
    <w:rsid w:val="00C35FB1"/>
    <w:rsid w:val="00C428DB"/>
    <w:rsid w:val="00C47242"/>
    <w:rsid w:val="00C52AD2"/>
    <w:rsid w:val="00C541F8"/>
    <w:rsid w:val="00C55048"/>
    <w:rsid w:val="00C567AE"/>
    <w:rsid w:val="00C61EE4"/>
    <w:rsid w:val="00C6484E"/>
    <w:rsid w:val="00C64D2F"/>
    <w:rsid w:val="00C66111"/>
    <w:rsid w:val="00C669B1"/>
    <w:rsid w:val="00C67303"/>
    <w:rsid w:val="00C67DE2"/>
    <w:rsid w:val="00C70630"/>
    <w:rsid w:val="00C726FF"/>
    <w:rsid w:val="00C73F0E"/>
    <w:rsid w:val="00C75FD2"/>
    <w:rsid w:val="00C76226"/>
    <w:rsid w:val="00C77387"/>
    <w:rsid w:val="00C77389"/>
    <w:rsid w:val="00C80125"/>
    <w:rsid w:val="00C80E7B"/>
    <w:rsid w:val="00C80EDC"/>
    <w:rsid w:val="00C839CE"/>
    <w:rsid w:val="00C8530D"/>
    <w:rsid w:val="00C939FA"/>
    <w:rsid w:val="00C94299"/>
    <w:rsid w:val="00C94711"/>
    <w:rsid w:val="00C94D67"/>
    <w:rsid w:val="00C95484"/>
    <w:rsid w:val="00C97EE3"/>
    <w:rsid w:val="00CA0163"/>
    <w:rsid w:val="00CA1517"/>
    <w:rsid w:val="00CA5913"/>
    <w:rsid w:val="00CA5D9B"/>
    <w:rsid w:val="00CA6290"/>
    <w:rsid w:val="00CA77BA"/>
    <w:rsid w:val="00CB051A"/>
    <w:rsid w:val="00CB085C"/>
    <w:rsid w:val="00CB12B7"/>
    <w:rsid w:val="00CB14D9"/>
    <w:rsid w:val="00CB2991"/>
    <w:rsid w:val="00CB2AC0"/>
    <w:rsid w:val="00CB6B8D"/>
    <w:rsid w:val="00CB7567"/>
    <w:rsid w:val="00CC0F3E"/>
    <w:rsid w:val="00CC39D4"/>
    <w:rsid w:val="00CC5431"/>
    <w:rsid w:val="00CD0093"/>
    <w:rsid w:val="00CD0618"/>
    <w:rsid w:val="00CD2692"/>
    <w:rsid w:val="00CD50DB"/>
    <w:rsid w:val="00CD5AE6"/>
    <w:rsid w:val="00CD6994"/>
    <w:rsid w:val="00CD74F5"/>
    <w:rsid w:val="00CE2DC3"/>
    <w:rsid w:val="00CE7F9E"/>
    <w:rsid w:val="00CF2E46"/>
    <w:rsid w:val="00CF386B"/>
    <w:rsid w:val="00CF3F83"/>
    <w:rsid w:val="00CF58B6"/>
    <w:rsid w:val="00D003A9"/>
    <w:rsid w:val="00D00DA2"/>
    <w:rsid w:val="00D105D6"/>
    <w:rsid w:val="00D13747"/>
    <w:rsid w:val="00D15DD4"/>
    <w:rsid w:val="00D2006E"/>
    <w:rsid w:val="00D200F9"/>
    <w:rsid w:val="00D30B9D"/>
    <w:rsid w:val="00D37FF1"/>
    <w:rsid w:val="00D4066C"/>
    <w:rsid w:val="00D4080F"/>
    <w:rsid w:val="00D410DE"/>
    <w:rsid w:val="00D4456B"/>
    <w:rsid w:val="00D4700C"/>
    <w:rsid w:val="00D52C82"/>
    <w:rsid w:val="00D531F9"/>
    <w:rsid w:val="00D61B0D"/>
    <w:rsid w:val="00D67281"/>
    <w:rsid w:val="00D7099A"/>
    <w:rsid w:val="00D7232B"/>
    <w:rsid w:val="00D73F8A"/>
    <w:rsid w:val="00D76666"/>
    <w:rsid w:val="00D77549"/>
    <w:rsid w:val="00D81D7F"/>
    <w:rsid w:val="00D837D9"/>
    <w:rsid w:val="00D8557D"/>
    <w:rsid w:val="00D8569A"/>
    <w:rsid w:val="00D857B2"/>
    <w:rsid w:val="00D85861"/>
    <w:rsid w:val="00D8643F"/>
    <w:rsid w:val="00D86823"/>
    <w:rsid w:val="00D91277"/>
    <w:rsid w:val="00D91287"/>
    <w:rsid w:val="00D933DB"/>
    <w:rsid w:val="00D93F4B"/>
    <w:rsid w:val="00D94380"/>
    <w:rsid w:val="00D95817"/>
    <w:rsid w:val="00DA0968"/>
    <w:rsid w:val="00DA0BCC"/>
    <w:rsid w:val="00DA3D22"/>
    <w:rsid w:val="00DA5983"/>
    <w:rsid w:val="00DA6D41"/>
    <w:rsid w:val="00DA7181"/>
    <w:rsid w:val="00DA7841"/>
    <w:rsid w:val="00DB2C21"/>
    <w:rsid w:val="00DB32FF"/>
    <w:rsid w:val="00DC111F"/>
    <w:rsid w:val="00DC3FA3"/>
    <w:rsid w:val="00DC5179"/>
    <w:rsid w:val="00DC7174"/>
    <w:rsid w:val="00DD2658"/>
    <w:rsid w:val="00DD7214"/>
    <w:rsid w:val="00DE00AB"/>
    <w:rsid w:val="00DE051C"/>
    <w:rsid w:val="00DE149F"/>
    <w:rsid w:val="00DE224F"/>
    <w:rsid w:val="00DE323A"/>
    <w:rsid w:val="00DE4D6D"/>
    <w:rsid w:val="00DE4E51"/>
    <w:rsid w:val="00DE5CF4"/>
    <w:rsid w:val="00DE5EF3"/>
    <w:rsid w:val="00DE6E9B"/>
    <w:rsid w:val="00DE7690"/>
    <w:rsid w:val="00E05952"/>
    <w:rsid w:val="00E06B61"/>
    <w:rsid w:val="00E07BBB"/>
    <w:rsid w:val="00E07F70"/>
    <w:rsid w:val="00E1075F"/>
    <w:rsid w:val="00E10FF9"/>
    <w:rsid w:val="00E22B7A"/>
    <w:rsid w:val="00E265E3"/>
    <w:rsid w:val="00E270F0"/>
    <w:rsid w:val="00E3076B"/>
    <w:rsid w:val="00E30F07"/>
    <w:rsid w:val="00E3171C"/>
    <w:rsid w:val="00E43A8E"/>
    <w:rsid w:val="00E44B0C"/>
    <w:rsid w:val="00E4777E"/>
    <w:rsid w:val="00E505D9"/>
    <w:rsid w:val="00E50B4C"/>
    <w:rsid w:val="00E5350E"/>
    <w:rsid w:val="00E541A2"/>
    <w:rsid w:val="00E63EA7"/>
    <w:rsid w:val="00E64FC3"/>
    <w:rsid w:val="00E706B4"/>
    <w:rsid w:val="00E70AA3"/>
    <w:rsid w:val="00E7194A"/>
    <w:rsid w:val="00E73D88"/>
    <w:rsid w:val="00E73FDF"/>
    <w:rsid w:val="00E77A7D"/>
    <w:rsid w:val="00E8571D"/>
    <w:rsid w:val="00E90237"/>
    <w:rsid w:val="00E91236"/>
    <w:rsid w:val="00E938BB"/>
    <w:rsid w:val="00E954FA"/>
    <w:rsid w:val="00E95AA5"/>
    <w:rsid w:val="00E95CD7"/>
    <w:rsid w:val="00E96797"/>
    <w:rsid w:val="00EA1868"/>
    <w:rsid w:val="00EA1DF7"/>
    <w:rsid w:val="00EA3638"/>
    <w:rsid w:val="00EA5B2F"/>
    <w:rsid w:val="00EA674B"/>
    <w:rsid w:val="00EB1738"/>
    <w:rsid w:val="00EB191A"/>
    <w:rsid w:val="00EB1935"/>
    <w:rsid w:val="00EB20F8"/>
    <w:rsid w:val="00EB5588"/>
    <w:rsid w:val="00EB681E"/>
    <w:rsid w:val="00EB7D17"/>
    <w:rsid w:val="00EC23E4"/>
    <w:rsid w:val="00EC3D60"/>
    <w:rsid w:val="00EC5760"/>
    <w:rsid w:val="00EC7719"/>
    <w:rsid w:val="00ED194E"/>
    <w:rsid w:val="00ED36B3"/>
    <w:rsid w:val="00ED389A"/>
    <w:rsid w:val="00ED50CA"/>
    <w:rsid w:val="00ED5C84"/>
    <w:rsid w:val="00ED6EF9"/>
    <w:rsid w:val="00EE1782"/>
    <w:rsid w:val="00EE3414"/>
    <w:rsid w:val="00EE4037"/>
    <w:rsid w:val="00EE4431"/>
    <w:rsid w:val="00EE5559"/>
    <w:rsid w:val="00EE5EAF"/>
    <w:rsid w:val="00EE6753"/>
    <w:rsid w:val="00EE685B"/>
    <w:rsid w:val="00EE773A"/>
    <w:rsid w:val="00EEA32D"/>
    <w:rsid w:val="00EF7001"/>
    <w:rsid w:val="00F02134"/>
    <w:rsid w:val="00F021DF"/>
    <w:rsid w:val="00F02544"/>
    <w:rsid w:val="00F03E91"/>
    <w:rsid w:val="00F073CA"/>
    <w:rsid w:val="00F0782C"/>
    <w:rsid w:val="00F07EF6"/>
    <w:rsid w:val="00F14212"/>
    <w:rsid w:val="00F1675E"/>
    <w:rsid w:val="00F17B44"/>
    <w:rsid w:val="00F21471"/>
    <w:rsid w:val="00F3002D"/>
    <w:rsid w:val="00F34DA0"/>
    <w:rsid w:val="00F37C5F"/>
    <w:rsid w:val="00F410BE"/>
    <w:rsid w:val="00F427B7"/>
    <w:rsid w:val="00F45903"/>
    <w:rsid w:val="00F46EDA"/>
    <w:rsid w:val="00F50962"/>
    <w:rsid w:val="00F517F9"/>
    <w:rsid w:val="00F52364"/>
    <w:rsid w:val="00F52DD8"/>
    <w:rsid w:val="00F57D4F"/>
    <w:rsid w:val="00F5C428"/>
    <w:rsid w:val="00F602BA"/>
    <w:rsid w:val="00F626E3"/>
    <w:rsid w:val="00F65013"/>
    <w:rsid w:val="00F7020F"/>
    <w:rsid w:val="00F70B36"/>
    <w:rsid w:val="00F72C5D"/>
    <w:rsid w:val="00F7347F"/>
    <w:rsid w:val="00F75749"/>
    <w:rsid w:val="00F75F16"/>
    <w:rsid w:val="00F76851"/>
    <w:rsid w:val="00F802C1"/>
    <w:rsid w:val="00F80971"/>
    <w:rsid w:val="00F81FDD"/>
    <w:rsid w:val="00F82F26"/>
    <w:rsid w:val="00F9046D"/>
    <w:rsid w:val="00F917F8"/>
    <w:rsid w:val="00F9347B"/>
    <w:rsid w:val="00F936D1"/>
    <w:rsid w:val="00FA0182"/>
    <w:rsid w:val="00FA457E"/>
    <w:rsid w:val="00FB213B"/>
    <w:rsid w:val="00FB394D"/>
    <w:rsid w:val="00FB5BDD"/>
    <w:rsid w:val="00FB5D67"/>
    <w:rsid w:val="00FB6B36"/>
    <w:rsid w:val="00FC0EAF"/>
    <w:rsid w:val="00FC288E"/>
    <w:rsid w:val="00FC3EA8"/>
    <w:rsid w:val="00FC5AD7"/>
    <w:rsid w:val="00FC6ACF"/>
    <w:rsid w:val="00FC6B79"/>
    <w:rsid w:val="00FD2D4E"/>
    <w:rsid w:val="00FD30DB"/>
    <w:rsid w:val="00FD3A85"/>
    <w:rsid w:val="00FD6D51"/>
    <w:rsid w:val="00FE0BB6"/>
    <w:rsid w:val="00FE1DD2"/>
    <w:rsid w:val="00FE4B15"/>
    <w:rsid w:val="00FF2FAA"/>
    <w:rsid w:val="00FF4D6E"/>
    <w:rsid w:val="017BFB1F"/>
    <w:rsid w:val="019CB277"/>
    <w:rsid w:val="01C1398F"/>
    <w:rsid w:val="01DA4094"/>
    <w:rsid w:val="01E83356"/>
    <w:rsid w:val="0273A40D"/>
    <w:rsid w:val="0273B446"/>
    <w:rsid w:val="02893931"/>
    <w:rsid w:val="02BC6CB6"/>
    <w:rsid w:val="02EB3153"/>
    <w:rsid w:val="0357A9D2"/>
    <w:rsid w:val="036231AC"/>
    <w:rsid w:val="03C24138"/>
    <w:rsid w:val="03D011A3"/>
    <w:rsid w:val="03DF69AC"/>
    <w:rsid w:val="03E8FBA0"/>
    <w:rsid w:val="03EB8717"/>
    <w:rsid w:val="040DDE32"/>
    <w:rsid w:val="047AE257"/>
    <w:rsid w:val="04CA054C"/>
    <w:rsid w:val="04E459C2"/>
    <w:rsid w:val="0516C556"/>
    <w:rsid w:val="0575D18C"/>
    <w:rsid w:val="05C0C6BF"/>
    <w:rsid w:val="05FC20C2"/>
    <w:rsid w:val="060EB265"/>
    <w:rsid w:val="0658AF9D"/>
    <w:rsid w:val="065ECF83"/>
    <w:rsid w:val="069DE1E1"/>
    <w:rsid w:val="06A9D51F"/>
    <w:rsid w:val="06D4F913"/>
    <w:rsid w:val="0715DD7D"/>
    <w:rsid w:val="072A8778"/>
    <w:rsid w:val="07872634"/>
    <w:rsid w:val="078D6652"/>
    <w:rsid w:val="07BD881F"/>
    <w:rsid w:val="080866D8"/>
    <w:rsid w:val="0815E6C1"/>
    <w:rsid w:val="089F2CDC"/>
    <w:rsid w:val="08C80243"/>
    <w:rsid w:val="0925EA51"/>
    <w:rsid w:val="09383CDE"/>
    <w:rsid w:val="094B471E"/>
    <w:rsid w:val="09B91E07"/>
    <w:rsid w:val="0A48AF10"/>
    <w:rsid w:val="0A66D1C7"/>
    <w:rsid w:val="0A87CBBD"/>
    <w:rsid w:val="0A9E5211"/>
    <w:rsid w:val="0AB61BBA"/>
    <w:rsid w:val="0B0082D7"/>
    <w:rsid w:val="0B19FED1"/>
    <w:rsid w:val="0B4EF0E0"/>
    <w:rsid w:val="0B4F8F03"/>
    <w:rsid w:val="0B505A7A"/>
    <w:rsid w:val="0B63CA4F"/>
    <w:rsid w:val="0B6EAB38"/>
    <w:rsid w:val="0B7B86C2"/>
    <w:rsid w:val="0B954E44"/>
    <w:rsid w:val="0B97D44D"/>
    <w:rsid w:val="0C2444EC"/>
    <w:rsid w:val="0C889D1C"/>
    <w:rsid w:val="0CC3E227"/>
    <w:rsid w:val="0CD0D05F"/>
    <w:rsid w:val="0CDC34A4"/>
    <w:rsid w:val="0D191D4C"/>
    <w:rsid w:val="0D4D70BF"/>
    <w:rsid w:val="0D58DC2C"/>
    <w:rsid w:val="0D70855C"/>
    <w:rsid w:val="0D947783"/>
    <w:rsid w:val="0D983A1A"/>
    <w:rsid w:val="0DD1677A"/>
    <w:rsid w:val="0DEE042B"/>
    <w:rsid w:val="0E483C0C"/>
    <w:rsid w:val="0E4C6524"/>
    <w:rsid w:val="0E4FB520"/>
    <w:rsid w:val="0E72122B"/>
    <w:rsid w:val="0E858906"/>
    <w:rsid w:val="0ECFC683"/>
    <w:rsid w:val="0F31C021"/>
    <w:rsid w:val="0F73D0B5"/>
    <w:rsid w:val="0F7D4341"/>
    <w:rsid w:val="0FB154C9"/>
    <w:rsid w:val="0FCDC087"/>
    <w:rsid w:val="1008D0F5"/>
    <w:rsid w:val="10241C4C"/>
    <w:rsid w:val="104699D1"/>
    <w:rsid w:val="10A1DA94"/>
    <w:rsid w:val="10C32F41"/>
    <w:rsid w:val="10C61768"/>
    <w:rsid w:val="10D7CC02"/>
    <w:rsid w:val="10EEFFE7"/>
    <w:rsid w:val="112AE6B8"/>
    <w:rsid w:val="1181A926"/>
    <w:rsid w:val="11DE3D09"/>
    <w:rsid w:val="12088947"/>
    <w:rsid w:val="131FB86F"/>
    <w:rsid w:val="1368D42B"/>
    <w:rsid w:val="136D94B8"/>
    <w:rsid w:val="139D60B5"/>
    <w:rsid w:val="13ABFC70"/>
    <w:rsid w:val="13C1270E"/>
    <w:rsid w:val="13DD36AC"/>
    <w:rsid w:val="13ED9F71"/>
    <w:rsid w:val="1402D41C"/>
    <w:rsid w:val="1463D26B"/>
    <w:rsid w:val="147B32D9"/>
    <w:rsid w:val="147B65BB"/>
    <w:rsid w:val="1489D86D"/>
    <w:rsid w:val="152E4A6B"/>
    <w:rsid w:val="15576735"/>
    <w:rsid w:val="1558DC98"/>
    <w:rsid w:val="1567F077"/>
    <w:rsid w:val="15922733"/>
    <w:rsid w:val="15A845E7"/>
    <w:rsid w:val="15C0BB74"/>
    <w:rsid w:val="16AA0157"/>
    <w:rsid w:val="16D7F153"/>
    <w:rsid w:val="16EE2331"/>
    <w:rsid w:val="16F2FBC7"/>
    <w:rsid w:val="175EDD7B"/>
    <w:rsid w:val="178E2A6F"/>
    <w:rsid w:val="1892DA2F"/>
    <w:rsid w:val="189875F8"/>
    <w:rsid w:val="1904A9C7"/>
    <w:rsid w:val="191F0A1D"/>
    <w:rsid w:val="1986EEFD"/>
    <w:rsid w:val="19A49174"/>
    <w:rsid w:val="19CCCBDF"/>
    <w:rsid w:val="19CE6A9D"/>
    <w:rsid w:val="19FDCD76"/>
    <w:rsid w:val="1A0DF05D"/>
    <w:rsid w:val="1A30E1CE"/>
    <w:rsid w:val="1A75633B"/>
    <w:rsid w:val="1AD077D8"/>
    <w:rsid w:val="1B0B7D62"/>
    <w:rsid w:val="1B759ED1"/>
    <w:rsid w:val="1BB0C92B"/>
    <w:rsid w:val="1BE9CB22"/>
    <w:rsid w:val="1BFE772B"/>
    <w:rsid w:val="1C4AF844"/>
    <w:rsid w:val="1C56F02F"/>
    <w:rsid w:val="1C6FD18B"/>
    <w:rsid w:val="1CCB33D9"/>
    <w:rsid w:val="1D1D183D"/>
    <w:rsid w:val="1D448AB0"/>
    <w:rsid w:val="1D5F0FAE"/>
    <w:rsid w:val="1D7F0655"/>
    <w:rsid w:val="1D94FFAA"/>
    <w:rsid w:val="1DAC0362"/>
    <w:rsid w:val="1DDD22BC"/>
    <w:rsid w:val="1E269690"/>
    <w:rsid w:val="1E2ED6ED"/>
    <w:rsid w:val="1E353692"/>
    <w:rsid w:val="1E47176F"/>
    <w:rsid w:val="1E5CE4D4"/>
    <w:rsid w:val="1E9D48A9"/>
    <w:rsid w:val="1EBD8781"/>
    <w:rsid w:val="1EC5BB51"/>
    <w:rsid w:val="1ECEB4F4"/>
    <w:rsid w:val="1EE5FAAB"/>
    <w:rsid w:val="1F0F0ABD"/>
    <w:rsid w:val="1F4E6AC1"/>
    <w:rsid w:val="1F57879D"/>
    <w:rsid w:val="1F79B19C"/>
    <w:rsid w:val="1FA1ECE7"/>
    <w:rsid w:val="1FEC2BB1"/>
    <w:rsid w:val="2019183C"/>
    <w:rsid w:val="20526DAB"/>
    <w:rsid w:val="20709084"/>
    <w:rsid w:val="20771CF7"/>
    <w:rsid w:val="207D2E91"/>
    <w:rsid w:val="20859F5B"/>
    <w:rsid w:val="2089D5E2"/>
    <w:rsid w:val="20BADE24"/>
    <w:rsid w:val="210B6A01"/>
    <w:rsid w:val="21147D89"/>
    <w:rsid w:val="215E46FE"/>
    <w:rsid w:val="219E18F8"/>
    <w:rsid w:val="21BC7138"/>
    <w:rsid w:val="226CBD42"/>
    <w:rsid w:val="227607FF"/>
    <w:rsid w:val="227DA927"/>
    <w:rsid w:val="2282FB55"/>
    <w:rsid w:val="22C77BD3"/>
    <w:rsid w:val="22CA0093"/>
    <w:rsid w:val="22FD16DB"/>
    <w:rsid w:val="2324E705"/>
    <w:rsid w:val="232BFBB3"/>
    <w:rsid w:val="236BDFE3"/>
    <w:rsid w:val="236DB2DF"/>
    <w:rsid w:val="237BA8F3"/>
    <w:rsid w:val="23A5CAD7"/>
    <w:rsid w:val="23C32366"/>
    <w:rsid w:val="242DD556"/>
    <w:rsid w:val="244655B0"/>
    <w:rsid w:val="24AA77D3"/>
    <w:rsid w:val="24B7BE20"/>
    <w:rsid w:val="24BFFE33"/>
    <w:rsid w:val="24DD8104"/>
    <w:rsid w:val="2536C4C8"/>
    <w:rsid w:val="25448DFB"/>
    <w:rsid w:val="25770338"/>
    <w:rsid w:val="257B716B"/>
    <w:rsid w:val="259779E1"/>
    <w:rsid w:val="25C6A073"/>
    <w:rsid w:val="25D62C2B"/>
    <w:rsid w:val="26177211"/>
    <w:rsid w:val="26273FD8"/>
    <w:rsid w:val="26329748"/>
    <w:rsid w:val="26370AF2"/>
    <w:rsid w:val="26371A0A"/>
    <w:rsid w:val="264AB4FB"/>
    <w:rsid w:val="267C6571"/>
    <w:rsid w:val="26A5E9AE"/>
    <w:rsid w:val="26D23C99"/>
    <w:rsid w:val="26E1E56A"/>
    <w:rsid w:val="27168405"/>
    <w:rsid w:val="2735EE63"/>
    <w:rsid w:val="2787C24A"/>
    <w:rsid w:val="27A830B7"/>
    <w:rsid w:val="27E1BCFB"/>
    <w:rsid w:val="28683303"/>
    <w:rsid w:val="28A97B5D"/>
    <w:rsid w:val="28BB53C8"/>
    <w:rsid w:val="28C8B3A8"/>
    <w:rsid w:val="2900898A"/>
    <w:rsid w:val="29231479"/>
    <w:rsid w:val="292FEB24"/>
    <w:rsid w:val="293E6DBC"/>
    <w:rsid w:val="2953EBCE"/>
    <w:rsid w:val="29651626"/>
    <w:rsid w:val="296F1AC9"/>
    <w:rsid w:val="298CFB2E"/>
    <w:rsid w:val="29D1AB8B"/>
    <w:rsid w:val="29D52C85"/>
    <w:rsid w:val="29EE5C51"/>
    <w:rsid w:val="2A55E144"/>
    <w:rsid w:val="2A829DF4"/>
    <w:rsid w:val="2AC2B452"/>
    <w:rsid w:val="2ADCAB71"/>
    <w:rsid w:val="2AE18967"/>
    <w:rsid w:val="2B2BF76C"/>
    <w:rsid w:val="2B352E86"/>
    <w:rsid w:val="2B4F2BFC"/>
    <w:rsid w:val="2B5680D8"/>
    <w:rsid w:val="2B9A85CD"/>
    <w:rsid w:val="2BAC64EA"/>
    <w:rsid w:val="2BDCCD11"/>
    <w:rsid w:val="2BDF7E0D"/>
    <w:rsid w:val="2BF520C2"/>
    <w:rsid w:val="2C144830"/>
    <w:rsid w:val="2C1BC66A"/>
    <w:rsid w:val="2C951B72"/>
    <w:rsid w:val="2C9DA628"/>
    <w:rsid w:val="2CA7CC5D"/>
    <w:rsid w:val="2CB250CD"/>
    <w:rsid w:val="2CB40AE5"/>
    <w:rsid w:val="2CCAA9CE"/>
    <w:rsid w:val="2CDE459F"/>
    <w:rsid w:val="2CE3A594"/>
    <w:rsid w:val="2CEDC180"/>
    <w:rsid w:val="2D26C2E4"/>
    <w:rsid w:val="2D334E13"/>
    <w:rsid w:val="2D97DA5A"/>
    <w:rsid w:val="2DFAFC05"/>
    <w:rsid w:val="2E318A62"/>
    <w:rsid w:val="2E88E9F1"/>
    <w:rsid w:val="2E8C597B"/>
    <w:rsid w:val="2E95D78E"/>
    <w:rsid w:val="2EA839C7"/>
    <w:rsid w:val="2EB9FE91"/>
    <w:rsid w:val="2EC90572"/>
    <w:rsid w:val="2EECA3E2"/>
    <w:rsid w:val="2F0AB24E"/>
    <w:rsid w:val="2F79BA58"/>
    <w:rsid w:val="2F9A7D44"/>
    <w:rsid w:val="2FC28BF3"/>
    <w:rsid w:val="2FCF57A7"/>
    <w:rsid w:val="2FDBA5EC"/>
    <w:rsid w:val="3051181E"/>
    <w:rsid w:val="3069FF75"/>
    <w:rsid w:val="307FCD1A"/>
    <w:rsid w:val="3095C8F1"/>
    <w:rsid w:val="30975F1F"/>
    <w:rsid w:val="30B417E1"/>
    <w:rsid w:val="317F43B8"/>
    <w:rsid w:val="31CC8E18"/>
    <w:rsid w:val="31E00813"/>
    <w:rsid w:val="31EF1E5E"/>
    <w:rsid w:val="31F941ED"/>
    <w:rsid w:val="3236DC90"/>
    <w:rsid w:val="328B7F3C"/>
    <w:rsid w:val="32CB7B93"/>
    <w:rsid w:val="32EA6C9F"/>
    <w:rsid w:val="3319CCC6"/>
    <w:rsid w:val="3376E054"/>
    <w:rsid w:val="3379CEDC"/>
    <w:rsid w:val="3384331D"/>
    <w:rsid w:val="340621FF"/>
    <w:rsid w:val="3407390C"/>
    <w:rsid w:val="342AD53D"/>
    <w:rsid w:val="344B61DC"/>
    <w:rsid w:val="3453AE2F"/>
    <w:rsid w:val="34624AAA"/>
    <w:rsid w:val="34860337"/>
    <w:rsid w:val="348EBF27"/>
    <w:rsid w:val="349A0019"/>
    <w:rsid w:val="34AA13C9"/>
    <w:rsid w:val="34B19995"/>
    <w:rsid w:val="35407C61"/>
    <w:rsid w:val="35728052"/>
    <w:rsid w:val="357EAA09"/>
    <w:rsid w:val="359938E6"/>
    <w:rsid w:val="359FFCF8"/>
    <w:rsid w:val="35D12239"/>
    <w:rsid w:val="35D78357"/>
    <w:rsid w:val="36276A40"/>
    <w:rsid w:val="362D75AC"/>
    <w:rsid w:val="3635E506"/>
    <w:rsid w:val="364BACC5"/>
    <w:rsid w:val="365E47BE"/>
    <w:rsid w:val="3683409A"/>
    <w:rsid w:val="368B0511"/>
    <w:rsid w:val="369A970B"/>
    <w:rsid w:val="36ABB820"/>
    <w:rsid w:val="36CEBE25"/>
    <w:rsid w:val="36F07B17"/>
    <w:rsid w:val="370A18F5"/>
    <w:rsid w:val="372B07B2"/>
    <w:rsid w:val="373DCEC9"/>
    <w:rsid w:val="3774AA13"/>
    <w:rsid w:val="378D4BB6"/>
    <w:rsid w:val="379D6A18"/>
    <w:rsid w:val="37A72454"/>
    <w:rsid w:val="37BCE490"/>
    <w:rsid w:val="37D41827"/>
    <w:rsid w:val="381C1315"/>
    <w:rsid w:val="382B34D1"/>
    <w:rsid w:val="386810CC"/>
    <w:rsid w:val="387EC81C"/>
    <w:rsid w:val="38C6ECB7"/>
    <w:rsid w:val="38E4ED2F"/>
    <w:rsid w:val="3912B6CA"/>
    <w:rsid w:val="39151475"/>
    <w:rsid w:val="3916478A"/>
    <w:rsid w:val="39308D0B"/>
    <w:rsid w:val="3933B95D"/>
    <w:rsid w:val="39577DD9"/>
    <w:rsid w:val="398683BB"/>
    <w:rsid w:val="39A03135"/>
    <w:rsid w:val="39B21C90"/>
    <w:rsid w:val="39B2F6ED"/>
    <w:rsid w:val="39BA238D"/>
    <w:rsid w:val="39C7A17A"/>
    <w:rsid w:val="39D64828"/>
    <w:rsid w:val="3A254E0F"/>
    <w:rsid w:val="3A548B1E"/>
    <w:rsid w:val="3AB5D337"/>
    <w:rsid w:val="3AB7C7FF"/>
    <w:rsid w:val="3ACAB19B"/>
    <w:rsid w:val="3AE26F7F"/>
    <w:rsid w:val="3B113BE2"/>
    <w:rsid w:val="3B3EF947"/>
    <w:rsid w:val="3B73B496"/>
    <w:rsid w:val="3BA3B4A3"/>
    <w:rsid w:val="3BD07DE6"/>
    <w:rsid w:val="3C2024C6"/>
    <w:rsid w:val="3C48D501"/>
    <w:rsid w:val="3C58DED4"/>
    <w:rsid w:val="3C9528D3"/>
    <w:rsid w:val="3C997001"/>
    <w:rsid w:val="3C9B1F4C"/>
    <w:rsid w:val="3CC7D336"/>
    <w:rsid w:val="3CD294B6"/>
    <w:rsid w:val="3D538F30"/>
    <w:rsid w:val="3D5F49BE"/>
    <w:rsid w:val="3DA0A5FE"/>
    <w:rsid w:val="3DA371D2"/>
    <w:rsid w:val="3DB6E900"/>
    <w:rsid w:val="3DEAA758"/>
    <w:rsid w:val="3E115B3F"/>
    <w:rsid w:val="3E1289DB"/>
    <w:rsid w:val="3E257DEF"/>
    <w:rsid w:val="3E3C786F"/>
    <w:rsid w:val="3E78D2F3"/>
    <w:rsid w:val="3E9BACED"/>
    <w:rsid w:val="3EB28754"/>
    <w:rsid w:val="3EDB166E"/>
    <w:rsid w:val="3EEC666B"/>
    <w:rsid w:val="3F03C425"/>
    <w:rsid w:val="3F397346"/>
    <w:rsid w:val="3FA43827"/>
    <w:rsid w:val="402D4465"/>
    <w:rsid w:val="404B1FBB"/>
    <w:rsid w:val="40816128"/>
    <w:rsid w:val="40917764"/>
    <w:rsid w:val="40A810D2"/>
    <w:rsid w:val="40D24481"/>
    <w:rsid w:val="41256EA6"/>
    <w:rsid w:val="41267AE1"/>
    <w:rsid w:val="41355302"/>
    <w:rsid w:val="41612139"/>
    <w:rsid w:val="4198E408"/>
    <w:rsid w:val="419C6F99"/>
    <w:rsid w:val="41A10A94"/>
    <w:rsid w:val="41E44DFF"/>
    <w:rsid w:val="41E83CEF"/>
    <w:rsid w:val="41F9595D"/>
    <w:rsid w:val="4241D745"/>
    <w:rsid w:val="426D7CF5"/>
    <w:rsid w:val="428314A4"/>
    <w:rsid w:val="42B40D40"/>
    <w:rsid w:val="42DBB327"/>
    <w:rsid w:val="42DE6B3D"/>
    <w:rsid w:val="42F57F8A"/>
    <w:rsid w:val="43563DB6"/>
    <w:rsid w:val="4362F8C4"/>
    <w:rsid w:val="43764E29"/>
    <w:rsid w:val="437A9DF7"/>
    <w:rsid w:val="43A01C19"/>
    <w:rsid w:val="43C3C402"/>
    <w:rsid w:val="44367862"/>
    <w:rsid w:val="4483298E"/>
    <w:rsid w:val="450F3CEF"/>
    <w:rsid w:val="45684894"/>
    <w:rsid w:val="458BB18A"/>
    <w:rsid w:val="459BB837"/>
    <w:rsid w:val="45A27E55"/>
    <w:rsid w:val="45EFF626"/>
    <w:rsid w:val="4618F4B2"/>
    <w:rsid w:val="463623B0"/>
    <w:rsid w:val="4658A29C"/>
    <w:rsid w:val="46EF5196"/>
    <w:rsid w:val="4727F8B5"/>
    <w:rsid w:val="47374905"/>
    <w:rsid w:val="4752AAEF"/>
    <w:rsid w:val="475F21C2"/>
    <w:rsid w:val="477A9C31"/>
    <w:rsid w:val="47C26BF6"/>
    <w:rsid w:val="47EBEDD1"/>
    <w:rsid w:val="4839B299"/>
    <w:rsid w:val="483C5129"/>
    <w:rsid w:val="4890A54F"/>
    <w:rsid w:val="48B0AE99"/>
    <w:rsid w:val="493CA03D"/>
    <w:rsid w:val="494B78BB"/>
    <w:rsid w:val="495CD611"/>
    <w:rsid w:val="49A6D9F2"/>
    <w:rsid w:val="49F13B93"/>
    <w:rsid w:val="49F1B527"/>
    <w:rsid w:val="4A013231"/>
    <w:rsid w:val="4A3375A1"/>
    <w:rsid w:val="4A9E654C"/>
    <w:rsid w:val="4AF18E0D"/>
    <w:rsid w:val="4B1CD968"/>
    <w:rsid w:val="4B2F7725"/>
    <w:rsid w:val="4B3758C1"/>
    <w:rsid w:val="4B68E0C4"/>
    <w:rsid w:val="4B692C5F"/>
    <w:rsid w:val="4B6D219E"/>
    <w:rsid w:val="4B6F0A2F"/>
    <w:rsid w:val="4BA6CB10"/>
    <w:rsid w:val="4BAAF094"/>
    <w:rsid w:val="4BBB9A4E"/>
    <w:rsid w:val="4C1BCDA3"/>
    <w:rsid w:val="4C5D874C"/>
    <w:rsid w:val="4C6616AA"/>
    <w:rsid w:val="4CB3AE82"/>
    <w:rsid w:val="4CBE2F72"/>
    <w:rsid w:val="4D010A9B"/>
    <w:rsid w:val="4D01B63D"/>
    <w:rsid w:val="4D3CF437"/>
    <w:rsid w:val="4D43D661"/>
    <w:rsid w:val="4D5F7880"/>
    <w:rsid w:val="4D71F315"/>
    <w:rsid w:val="4DB9A24D"/>
    <w:rsid w:val="4E0CBC86"/>
    <w:rsid w:val="4E7F0A5F"/>
    <w:rsid w:val="4E95E67D"/>
    <w:rsid w:val="4EAE3511"/>
    <w:rsid w:val="4EEBE190"/>
    <w:rsid w:val="4EF4F1AE"/>
    <w:rsid w:val="4F02EEEC"/>
    <w:rsid w:val="4F2051FB"/>
    <w:rsid w:val="4F2A3E04"/>
    <w:rsid w:val="4F34ED98"/>
    <w:rsid w:val="4F57093B"/>
    <w:rsid w:val="4FB61948"/>
    <w:rsid w:val="5014B3FC"/>
    <w:rsid w:val="50497FB9"/>
    <w:rsid w:val="50790E47"/>
    <w:rsid w:val="50E295C8"/>
    <w:rsid w:val="50F12E82"/>
    <w:rsid w:val="50FDCB82"/>
    <w:rsid w:val="50FE6324"/>
    <w:rsid w:val="510208AD"/>
    <w:rsid w:val="5115B843"/>
    <w:rsid w:val="5117FFD5"/>
    <w:rsid w:val="511E56FD"/>
    <w:rsid w:val="5133523A"/>
    <w:rsid w:val="517D5C2A"/>
    <w:rsid w:val="5190392D"/>
    <w:rsid w:val="519CFC7A"/>
    <w:rsid w:val="51BFAE61"/>
    <w:rsid w:val="51C6251C"/>
    <w:rsid w:val="51DF7E3B"/>
    <w:rsid w:val="51E0082E"/>
    <w:rsid w:val="51F28B29"/>
    <w:rsid w:val="5204B63F"/>
    <w:rsid w:val="522DF028"/>
    <w:rsid w:val="5267DD20"/>
    <w:rsid w:val="52816CDC"/>
    <w:rsid w:val="52A84D82"/>
    <w:rsid w:val="52C3E54C"/>
    <w:rsid w:val="52D21F97"/>
    <w:rsid w:val="52E6004D"/>
    <w:rsid w:val="530B7537"/>
    <w:rsid w:val="5344BCBB"/>
    <w:rsid w:val="535E0782"/>
    <w:rsid w:val="53626D4C"/>
    <w:rsid w:val="53653C6A"/>
    <w:rsid w:val="5372AA20"/>
    <w:rsid w:val="538766F3"/>
    <w:rsid w:val="5395C384"/>
    <w:rsid w:val="53A2A170"/>
    <w:rsid w:val="53AB644D"/>
    <w:rsid w:val="5428E130"/>
    <w:rsid w:val="5459D400"/>
    <w:rsid w:val="54692C1C"/>
    <w:rsid w:val="54782A64"/>
    <w:rsid w:val="54DACA26"/>
    <w:rsid w:val="555B270E"/>
    <w:rsid w:val="555B49BE"/>
    <w:rsid w:val="55990380"/>
    <w:rsid w:val="55A64A63"/>
    <w:rsid w:val="55BD6494"/>
    <w:rsid w:val="55C37B18"/>
    <w:rsid w:val="55FEADC8"/>
    <w:rsid w:val="560953EB"/>
    <w:rsid w:val="560AC59A"/>
    <w:rsid w:val="564B69D6"/>
    <w:rsid w:val="5667BCF5"/>
    <w:rsid w:val="566E465E"/>
    <w:rsid w:val="5699A4EF"/>
    <w:rsid w:val="57865D26"/>
    <w:rsid w:val="578BE46E"/>
    <w:rsid w:val="57A57E05"/>
    <w:rsid w:val="57D6D021"/>
    <w:rsid w:val="57DF0349"/>
    <w:rsid w:val="58196CB3"/>
    <w:rsid w:val="58266EA1"/>
    <w:rsid w:val="5861C0E6"/>
    <w:rsid w:val="58C121B1"/>
    <w:rsid w:val="58DD7B8A"/>
    <w:rsid w:val="58F3CD42"/>
    <w:rsid w:val="590F5E0C"/>
    <w:rsid w:val="591CE286"/>
    <w:rsid w:val="593DCEF1"/>
    <w:rsid w:val="595545BB"/>
    <w:rsid w:val="59654A84"/>
    <w:rsid w:val="598B2CFD"/>
    <w:rsid w:val="59B5EDD4"/>
    <w:rsid w:val="59C3F5F8"/>
    <w:rsid w:val="5A0D4EC7"/>
    <w:rsid w:val="5A7B01C2"/>
    <w:rsid w:val="5A95FD88"/>
    <w:rsid w:val="5AA15B7E"/>
    <w:rsid w:val="5AAD5634"/>
    <w:rsid w:val="5B690B09"/>
    <w:rsid w:val="5B8F29D3"/>
    <w:rsid w:val="5BC824DE"/>
    <w:rsid w:val="5BDEFA8F"/>
    <w:rsid w:val="5C1639C2"/>
    <w:rsid w:val="5C34AEFB"/>
    <w:rsid w:val="5C7EE11D"/>
    <w:rsid w:val="5C862F54"/>
    <w:rsid w:val="5C89C160"/>
    <w:rsid w:val="5D176D71"/>
    <w:rsid w:val="5D48A198"/>
    <w:rsid w:val="5D513E1B"/>
    <w:rsid w:val="5D86D106"/>
    <w:rsid w:val="5D965C8F"/>
    <w:rsid w:val="5DED7A19"/>
    <w:rsid w:val="5E11610D"/>
    <w:rsid w:val="5E32BDEA"/>
    <w:rsid w:val="5E34AB11"/>
    <w:rsid w:val="5E617777"/>
    <w:rsid w:val="5E6249F5"/>
    <w:rsid w:val="5E95AF70"/>
    <w:rsid w:val="5EA6E988"/>
    <w:rsid w:val="5EC063BD"/>
    <w:rsid w:val="5EFB3075"/>
    <w:rsid w:val="5F0AFF00"/>
    <w:rsid w:val="5F90139A"/>
    <w:rsid w:val="5FA34832"/>
    <w:rsid w:val="5FC6D3DB"/>
    <w:rsid w:val="60096213"/>
    <w:rsid w:val="603A0DE5"/>
    <w:rsid w:val="60561E99"/>
    <w:rsid w:val="607AA74B"/>
    <w:rsid w:val="60D16E59"/>
    <w:rsid w:val="611F3A13"/>
    <w:rsid w:val="61399D3B"/>
    <w:rsid w:val="61581D52"/>
    <w:rsid w:val="615EAC88"/>
    <w:rsid w:val="617C7BAA"/>
    <w:rsid w:val="617FD512"/>
    <w:rsid w:val="61C78D60"/>
    <w:rsid w:val="61DE970F"/>
    <w:rsid w:val="61E7247F"/>
    <w:rsid w:val="6282AE35"/>
    <w:rsid w:val="62966570"/>
    <w:rsid w:val="62DE0F28"/>
    <w:rsid w:val="62F4D85D"/>
    <w:rsid w:val="633047F2"/>
    <w:rsid w:val="633B37A9"/>
    <w:rsid w:val="638DA645"/>
    <w:rsid w:val="63FC8963"/>
    <w:rsid w:val="644F69ED"/>
    <w:rsid w:val="645C9283"/>
    <w:rsid w:val="6460885C"/>
    <w:rsid w:val="646875F9"/>
    <w:rsid w:val="649CF8B2"/>
    <w:rsid w:val="64A45912"/>
    <w:rsid w:val="65719F67"/>
    <w:rsid w:val="6577B461"/>
    <w:rsid w:val="659D34AC"/>
    <w:rsid w:val="65A68AE4"/>
    <w:rsid w:val="65C5C8B8"/>
    <w:rsid w:val="66033FA6"/>
    <w:rsid w:val="6612E356"/>
    <w:rsid w:val="661703F4"/>
    <w:rsid w:val="66192612"/>
    <w:rsid w:val="664CA145"/>
    <w:rsid w:val="6666D833"/>
    <w:rsid w:val="672AC20C"/>
    <w:rsid w:val="673C002E"/>
    <w:rsid w:val="673E61D8"/>
    <w:rsid w:val="67405747"/>
    <w:rsid w:val="674E85F6"/>
    <w:rsid w:val="67694E17"/>
    <w:rsid w:val="676ACBAC"/>
    <w:rsid w:val="67EDF41B"/>
    <w:rsid w:val="6837DA49"/>
    <w:rsid w:val="688356D6"/>
    <w:rsid w:val="68A79902"/>
    <w:rsid w:val="68F655DF"/>
    <w:rsid w:val="693A52A9"/>
    <w:rsid w:val="694B0AA6"/>
    <w:rsid w:val="69C866C6"/>
    <w:rsid w:val="69E98501"/>
    <w:rsid w:val="6A0E25E3"/>
    <w:rsid w:val="6A288DEC"/>
    <w:rsid w:val="6A3C22AE"/>
    <w:rsid w:val="6A94C59C"/>
    <w:rsid w:val="6ABA3A06"/>
    <w:rsid w:val="6AFD67F5"/>
    <w:rsid w:val="6B384636"/>
    <w:rsid w:val="6B436018"/>
    <w:rsid w:val="6B82EBB8"/>
    <w:rsid w:val="6C2937BB"/>
    <w:rsid w:val="6C5CAA99"/>
    <w:rsid w:val="6C7B4022"/>
    <w:rsid w:val="6CADC385"/>
    <w:rsid w:val="6CB17F74"/>
    <w:rsid w:val="6CB89B6C"/>
    <w:rsid w:val="6CBCB188"/>
    <w:rsid w:val="6CDD406A"/>
    <w:rsid w:val="6D4CF04E"/>
    <w:rsid w:val="6DEE2D6D"/>
    <w:rsid w:val="6E291654"/>
    <w:rsid w:val="6E3F630C"/>
    <w:rsid w:val="6E592CDA"/>
    <w:rsid w:val="6E728D06"/>
    <w:rsid w:val="6EC8ED76"/>
    <w:rsid w:val="6EDC826C"/>
    <w:rsid w:val="6F2DC391"/>
    <w:rsid w:val="6F31E550"/>
    <w:rsid w:val="6F58282D"/>
    <w:rsid w:val="6F679D4F"/>
    <w:rsid w:val="6F9AC4D7"/>
    <w:rsid w:val="6FBC2AFD"/>
    <w:rsid w:val="702A5D49"/>
    <w:rsid w:val="70525590"/>
    <w:rsid w:val="7058B788"/>
    <w:rsid w:val="706A06D5"/>
    <w:rsid w:val="70AB14AE"/>
    <w:rsid w:val="71179B5F"/>
    <w:rsid w:val="7134BFAF"/>
    <w:rsid w:val="715F5A40"/>
    <w:rsid w:val="717431FF"/>
    <w:rsid w:val="717963CE"/>
    <w:rsid w:val="71DB5DD1"/>
    <w:rsid w:val="71FD5F7A"/>
    <w:rsid w:val="72577940"/>
    <w:rsid w:val="7275A4F0"/>
    <w:rsid w:val="7281064E"/>
    <w:rsid w:val="729BD97F"/>
    <w:rsid w:val="733DC450"/>
    <w:rsid w:val="735DDE24"/>
    <w:rsid w:val="738A930A"/>
    <w:rsid w:val="738B9237"/>
    <w:rsid w:val="738BD65C"/>
    <w:rsid w:val="739A09E6"/>
    <w:rsid w:val="73CC10E9"/>
    <w:rsid w:val="73E0F2EF"/>
    <w:rsid w:val="73E62F6F"/>
    <w:rsid w:val="73E80AE3"/>
    <w:rsid w:val="73EF532F"/>
    <w:rsid w:val="741EA610"/>
    <w:rsid w:val="74266D7B"/>
    <w:rsid w:val="7429D835"/>
    <w:rsid w:val="74364650"/>
    <w:rsid w:val="7467927B"/>
    <w:rsid w:val="746A59A0"/>
    <w:rsid w:val="74A1D4CF"/>
    <w:rsid w:val="74B86B79"/>
    <w:rsid w:val="753A4907"/>
    <w:rsid w:val="7573BB88"/>
    <w:rsid w:val="75837A4C"/>
    <w:rsid w:val="758564EE"/>
    <w:rsid w:val="75BD38C0"/>
    <w:rsid w:val="7682DDB8"/>
    <w:rsid w:val="76AA17E3"/>
    <w:rsid w:val="77038E24"/>
    <w:rsid w:val="77043BAB"/>
    <w:rsid w:val="772B52A7"/>
    <w:rsid w:val="77515F9B"/>
    <w:rsid w:val="77687A2E"/>
    <w:rsid w:val="77BEB3E8"/>
    <w:rsid w:val="77BF4AA2"/>
    <w:rsid w:val="77EE6A3B"/>
    <w:rsid w:val="77F5A011"/>
    <w:rsid w:val="781247EC"/>
    <w:rsid w:val="78754ADF"/>
    <w:rsid w:val="7875C288"/>
    <w:rsid w:val="7888E05C"/>
    <w:rsid w:val="78D3726B"/>
    <w:rsid w:val="79106C1B"/>
    <w:rsid w:val="79328972"/>
    <w:rsid w:val="793586C4"/>
    <w:rsid w:val="793E5E7F"/>
    <w:rsid w:val="7954E894"/>
    <w:rsid w:val="796FB429"/>
    <w:rsid w:val="79A983D5"/>
    <w:rsid w:val="7A20ADA5"/>
    <w:rsid w:val="7A21AF8D"/>
    <w:rsid w:val="7A318FEF"/>
    <w:rsid w:val="7A498F9C"/>
    <w:rsid w:val="7A54B411"/>
    <w:rsid w:val="7A766A17"/>
    <w:rsid w:val="7A9D338E"/>
    <w:rsid w:val="7A9F019D"/>
    <w:rsid w:val="7AE975AB"/>
    <w:rsid w:val="7AEB8237"/>
    <w:rsid w:val="7B209F1D"/>
    <w:rsid w:val="7B6F8925"/>
    <w:rsid w:val="7B800374"/>
    <w:rsid w:val="7BAD0189"/>
    <w:rsid w:val="7BC17E1F"/>
    <w:rsid w:val="7CAE5447"/>
    <w:rsid w:val="7CD796D2"/>
    <w:rsid w:val="7CDFD5C9"/>
    <w:rsid w:val="7D85D7CA"/>
    <w:rsid w:val="7DA6E737"/>
    <w:rsid w:val="7DACCB62"/>
    <w:rsid w:val="7DB91B26"/>
    <w:rsid w:val="7DFA8334"/>
    <w:rsid w:val="7E19D378"/>
    <w:rsid w:val="7E218064"/>
    <w:rsid w:val="7EA190D9"/>
    <w:rsid w:val="7EADCF6B"/>
    <w:rsid w:val="7EB4A998"/>
    <w:rsid w:val="7EEDD9BC"/>
    <w:rsid w:val="7F09AC7F"/>
    <w:rsid w:val="7F102FD7"/>
    <w:rsid w:val="7F18CACB"/>
    <w:rsid w:val="7F3D9E4F"/>
    <w:rsid w:val="7F4FAE24"/>
    <w:rsid w:val="7F9023F6"/>
    <w:rsid w:val="7F99EC38"/>
    <w:rsid w:val="7FA7DD04"/>
    <w:rsid w:val="7FAB89B6"/>
    <w:rsid w:val="7FBAA0E3"/>
    <w:rsid w:val="7FD8CE59"/>
    <w:rsid w:val="7FE33381"/>
    <w:rsid w:val="7FFE5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8B104"/>
  <w15:chartTrackingRefBased/>
  <w15:docId w15:val="{DE311E81-454C-4265-AE0A-C0CF2D08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0B69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43A"/>
    <w:pPr>
      <w:tabs>
        <w:tab w:val="center" w:pos="4513"/>
        <w:tab w:val="right" w:pos="9026"/>
      </w:tabs>
    </w:pPr>
  </w:style>
  <w:style w:type="character" w:customStyle="1" w:styleId="HeaderChar">
    <w:name w:val="Header Char"/>
    <w:basedOn w:val="DefaultParagraphFont"/>
    <w:link w:val="Header"/>
    <w:uiPriority w:val="99"/>
    <w:rsid w:val="0082543A"/>
  </w:style>
  <w:style w:type="paragraph" w:styleId="Footer">
    <w:name w:val="footer"/>
    <w:basedOn w:val="Normal"/>
    <w:link w:val="FooterChar"/>
    <w:uiPriority w:val="99"/>
    <w:unhideWhenUsed/>
    <w:rsid w:val="0082543A"/>
    <w:pPr>
      <w:tabs>
        <w:tab w:val="center" w:pos="4513"/>
        <w:tab w:val="right" w:pos="9026"/>
      </w:tabs>
    </w:pPr>
  </w:style>
  <w:style w:type="character" w:customStyle="1" w:styleId="FooterChar">
    <w:name w:val="Footer Char"/>
    <w:basedOn w:val="DefaultParagraphFont"/>
    <w:link w:val="Footer"/>
    <w:uiPriority w:val="99"/>
    <w:rsid w:val="0082543A"/>
  </w:style>
  <w:style w:type="paragraph" w:styleId="ListParagraph">
    <w:name w:val="List Paragraph"/>
    <w:basedOn w:val="Normal"/>
    <w:uiPriority w:val="34"/>
    <w:qFormat/>
    <w:rsid w:val="0082543A"/>
    <w:pPr>
      <w:ind w:left="720"/>
      <w:contextualSpacing/>
    </w:pPr>
  </w:style>
  <w:style w:type="character" w:styleId="CommentReference">
    <w:name w:val="annotation reference"/>
    <w:basedOn w:val="DefaultParagraphFont"/>
    <w:uiPriority w:val="99"/>
    <w:semiHidden/>
    <w:unhideWhenUsed/>
    <w:rsid w:val="003376F1"/>
    <w:rPr>
      <w:sz w:val="16"/>
      <w:szCs w:val="16"/>
    </w:rPr>
  </w:style>
  <w:style w:type="paragraph" w:styleId="CommentText">
    <w:name w:val="annotation text"/>
    <w:basedOn w:val="Normal"/>
    <w:link w:val="CommentTextChar"/>
    <w:uiPriority w:val="99"/>
    <w:unhideWhenUsed/>
    <w:rsid w:val="003376F1"/>
    <w:rPr>
      <w:sz w:val="20"/>
      <w:szCs w:val="20"/>
    </w:rPr>
  </w:style>
  <w:style w:type="character" w:customStyle="1" w:styleId="CommentTextChar">
    <w:name w:val="Comment Text Char"/>
    <w:basedOn w:val="DefaultParagraphFont"/>
    <w:link w:val="CommentText"/>
    <w:uiPriority w:val="99"/>
    <w:rsid w:val="003376F1"/>
    <w:rPr>
      <w:sz w:val="20"/>
      <w:szCs w:val="20"/>
    </w:rPr>
  </w:style>
  <w:style w:type="paragraph" w:styleId="CommentSubject">
    <w:name w:val="annotation subject"/>
    <w:basedOn w:val="CommentText"/>
    <w:next w:val="CommentText"/>
    <w:link w:val="CommentSubjectChar"/>
    <w:uiPriority w:val="99"/>
    <w:semiHidden/>
    <w:unhideWhenUsed/>
    <w:rsid w:val="003376F1"/>
    <w:rPr>
      <w:b/>
      <w:bCs/>
    </w:rPr>
  </w:style>
  <w:style w:type="character" w:customStyle="1" w:styleId="CommentSubjectChar">
    <w:name w:val="Comment Subject Char"/>
    <w:basedOn w:val="CommentTextChar"/>
    <w:link w:val="CommentSubject"/>
    <w:uiPriority w:val="99"/>
    <w:semiHidden/>
    <w:rsid w:val="003376F1"/>
    <w:rPr>
      <w:b/>
      <w:bCs/>
      <w:sz w:val="20"/>
      <w:szCs w:val="20"/>
    </w:rPr>
  </w:style>
  <w:style w:type="paragraph" w:styleId="FootnoteText">
    <w:name w:val="footnote text"/>
    <w:basedOn w:val="Normal"/>
    <w:link w:val="FootnoteTextChar"/>
    <w:uiPriority w:val="99"/>
    <w:semiHidden/>
    <w:unhideWhenUsed/>
    <w:rsid w:val="00787E9F"/>
    <w:rPr>
      <w:sz w:val="20"/>
      <w:szCs w:val="20"/>
    </w:rPr>
  </w:style>
  <w:style w:type="character" w:customStyle="1" w:styleId="FootnoteTextChar">
    <w:name w:val="Footnote Text Char"/>
    <w:basedOn w:val="DefaultParagraphFont"/>
    <w:link w:val="FootnoteText"/>
    <w:uiPriority w:val="99"/>
    <w:semiHidden/>
    <w:rsid w:val="00787E9F"/>
    <w:rPr>
      <w:sz w:val="20"/>
      <w:szCs w:val="20"/>
    </w:rPr>
  </w:style>
  <w:style w:type="character" w:styleId="FootnoteReference">
    <w:name w:val="footnote reference"/>
    <w:basedOn w:val="DefaultParagraphFont"/>
    <w:uiPriority w:val="99"/>
    <w:semiHidden/>
    <w:unhideWhenUsed/>
    <w:rsid w:val="00787E9F"/>
    <w:rPr>
      <w:vertAlign w:val="superscript"/>
    </w:rPr>
  </w:style>
  <w:style w:type="character" w:styleId="Hyperlink">
    <w:name w:val="Hyperlink"/>
    <w:basedOn w:val="DefaultParagraphFont"/>
    <w:uiPriority w:val="99"/>
    <w:unhideWhenUsed/>
    <w:rsid w:val="001867A5"/>
    <w:rPr>
      <w:color w:val="0000FF" w:themeColor="hyperlink"/>
      <w:u w:val="single"/>
    </w:rPr>
  </w:style>
  <w:style w:type="character" w:customStyle="1" w:styleId="UnresolvedMention1">
    <w:name w:val="Unresolved Mention1"/>
    <w:basedOn w:val="DefaultParagraphFont"/>
    <w:uiPriority w:val="99"/>
    <w:semiHidden/>
    <w:unhideWhenUsed/>
    <w:rsid w:val="001867A5"/>
    <w:rPr>
      <w:color w:val="605E5C"/>
      <w:shd w:val="clear" w:color="auto" w:fill="E1DFDD"/>
    </w:rPr>
  </w:style>
  <w:style w:type="paragraph" w:styleId="Revision">
    <w:name w:val="Revision"/>
    <w:hidden/>
    <w:uiPriority w:val="99"/>
    <w:semiHidden/>
    <w:rsid w:val="004A681D"/>
  </w:style>
  <w:style w:type="table" w:styleId="TableGrid">
    <w:name w:val="Table Grid"/>
    <w:basedOn w:val="TableNormal"/>
    <w:uiPriority w:val="59"/>
    <w:rsid w:val="00116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21FE"/>
    <w:rPr>
      <w:color w:val="800080" w:themeColor="followedHyperlink"/>
      <w:u w:val="single"/>
    </w:rPr>
  </w:style>
  <w:style w:type="character" w:customStyle="1" w:styleId="Heading1Char">
    <w:name w:val="Heading 1 Char"/>
    <w:basedOn w:val="DefaultParagraphFont"/>
    <w:link w:val="Heading1"/>
    <w:uiPriority w:val="9"/>
    <w:rsid w:val="000B697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B6975"/>
    <w:pPr>
      <w:spacing w:line="259" w:lineRule="auto"/>
      <w:outlineLvl w:val="9"/>
    </w:pPr>
    <w:rPr>
      <w:lang w:eastAsia="en-GB"/>
    </w:rPr>
  </w:style>
  <w:style w:type="paragraph" w:styleId="Title">
    <w:name w:val="Title"/>
    <w:basedOn w:val="Normal"/>
    <w:next w:val="Normal"/>
    <w:link w:val="TitleChar"/>
    <w:uiPriority w:val="10"/>
    <w:qFormat/>
    <w:rsid w:val="006C6D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D2C"/>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6355BA"/>
    <w:pPr>
      <w:spacing w:after="100"/>
    </w:pPr>
  </w:style>
  <w:style w:type="paragraph" w:customStyle="1" w:styleId="paragraph">
    <w:name w:val="paragraph"/>
    <w:basedOn w:val="Normal"/>
    <w:rsid w:val="005523C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523CE"/>
  </w:style>
  <w:style w:type="character" w:customStyle="1" w:styleId="hljs-strong">
    <w:name w:val="hljs-strong"/>
    <w:basedOn w:val="DefaultParagraphFont"/>
    <w:rsid w:val="00EE685B"/>
  </w:style>
  <w:style w:type="character" w:customStyle="1" w:styleId="hljs-bullet">
    <w:name w:val="hljs-bullet"/>
    <w:basedOn w:val="DefaultParagraphFont"/>
    <w:rsid w:val="006E2A5A"/>
  </w:style>
  <w:style w:type="paragraph" w:styleId="BalloonText">
    <w:name w:val="Balloon Text"/>
    <w:basedOn w:val="Normal"/>
    <w:link w:val="BalloonTextChar"/>
    <w:uiPriority w:val="99"/>
    <w:semiHidden/>
    <w:unhideWhenUsed/>
    <w:rsid w:val="00F90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6D"/>
    <w:rPr>
      <w:rFonts w:ascii="Segoe UI" w:hAnsi="Segoe UI" w:cs="Segoe UI"/>
      <w:sz w:val="18"/>
      <w:szCs w:val="18"/>
    </w:rPr>
  </w:style>
  <w:style w:type="character" w:styleId="Strong">
    <w:name w:val="Strong"/>
    <w:basedOn w:val="DefaultParagraphFont"/>
    <w:uiPriority w:val="22"/>
    <w:qFormat/>
    <w:rsid w:val="00511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79">
      <w:bodyDiv w:val="1"/>
      <w:marLeft w:val="0"/>
      <w:marRight w:val="0"/>
      <w:marTop w:val="0"/>
      <w:marBottom w:val="0"/>
      <w:divBdr>
        <w:top w:val="none" w:sz="0" w:space="0" w:color="auto"/>
        <w:left w:val="none" w:sz="0" w:space="0" w:color="auto"/>
        <w:bottom w:val="none" w:sz="0" w:space="0" w:color="auto"/>
        <w:right w:val="none" w:sz="0" w:space="0" w:color="auto"/>
      </w:divBdr>
    </w:div>
    <w:div w:id="244613054">
      <w:bodyDiv w:val="1"/>
      <w:marLeft w:val="0"/>
      <w:marRight w:val="0"/>
      <w:marTop w:val="0"/>
      <w:marBottom w:val="0"/>
      <w:divBdr>
        <w:top w:val="none" w:sz="0" w:space="0" w:color="auto"/>
        <w:left w:val="none" w:sz="0" w:space="0" w:color="auto"/>
        <w:bottom w:val="none" w:sz="0" w:space="0" w:color="auto"/>
        <w:right w:val="none" w:sz="0" w:space="0" w:color="auto"/>
      </w:divBdr>
      <w:divsChild>
        <w:div w:id="1569993617">
          <w:marLeft w:val="0"/>
          <w:marRight w:val="0"/>
          <w:marTop w:val="0"/>
          <w:marBottom w:val="0"/>
          <w:divBdr>
            <w:top w:val="none" w:sz="0" w:space="0" w:color="auto"/>
            <w:left w:val="none" w:sz="0" w:space="0" w:color="auto"/>
            <w:bottom w:val="none" w:sz="0" w:space="0" w:color="auto"/>
            <w:right w:val="none" w:sz="0" w:space="0" w:color="auto"/>
          </w:divBdr>
        </w:div>
        <w:div w:id="1722092525">
          <w:marLeft w:val="0"/>
          <w:marRight w:val="0"/>
          <w:marTop w:val="0"/>
          <w:marBottom w:val="0"/>
          <w:divBdr>
            <w:top w:val="none" w:sz="0" w:space="0" w:color="auto"/>
            <w:left w:val="none" w:sz="0" w:space="0" w:color="auto"/>
            <w:bottom w:val="none" w:sz="0" w:space="0" w:color="auto"/>
            <w:right w:val="none" w:sz="0" w:space="0" w:color="auto"/>
          </w:divBdr>
        </w:div>
      </w:divsChild>
    </w:div>
    <w:div w:id="326252994">
      <w:bodyDiv w:val="1"/>
      <w:marLeft w:val="0"/>
      <w:marRight w:val="0"/>
      <w:marTop w:val="0"/>
      <w:marBottom w:val="0"/>
      <w:divBdr>
        <w:top w:val="none" w:sz="0" w:space="0" w:color="auto"/>
        <w:left w:val="none" w:sz="0" w:space="0" w:color="auto"/>
        <w:bottom w:val="none" w:sz="0" w:space="0" w:color="auto"/>
        <w:right w:val="none" w:sz="0" w:space="0" w:color="auto"/>
      </w:divBdr>
      <w:divsChild>
        <w:div w:id="61099437">
          <w:marLeft w:val="0"/>
          <w:marRight w:val="0"/>
          <w:marTop w:val="0"/>
          <w:marBottom w:val="0"/>
          <w:divBdr>
            <w:top w:val="none" w:sz="0" w:space="0" w:color="auto"/>
            <w:left w:val="none" w:sz="0" w:space="0" w:color="auto"/>
            <w:bottom w:val="none" w:sz="0" w:space="0" w:color="auto"/>
            <w:right w:val="none" w:sz="0" w:space="0" w:color="auto"/>
          </w:divBdr>
        </w:div>
        <w:div w:id="80954012">
          <w:marLeft w:val="0"/>
          <w:marRight w:val="0"/>
          <w:marTop w:val="0"/>
          <w:marBottom w:val="0"/>
          <w:divBdr>
            <w:top w:val="none" w:sz="0" w:space="0" w:color="auto"/>
            <w:left w:val="none" w:sz="0" w:space="0" w:color="auto"/>
            <w:bottom w:val="none" w:sz="0" w:space="0" w:color="auto"/>
            <w:right w:val="none" w:sz="0" w:space="0" w:color="auto"/>
          </w:divBdr>
        </w:div>
        <w:div w:id="245187909">
          <w:marLeft w:val="0"/>
          <w:marRight w:val="0"/>
          <w:marTop w:val="0"/>
          <w:marBottom w:val="0"/>
          <w:divBdr>
            <w:top w:val="none" w:sz="0" w:space="0" w:color="auto"/>
            <w:left w:val="none" w:sz="0" w:space="0" w:color="auto"/>
            <w:bottom w:val="none" w:sz="0" w:space="0" w:color="auto"/>
            <w:right w:val="none" w:sz="0" w:space="0" w:color="auto"/>
          </w:divBdr>
        </w:div>
        <w:div w:id="1431465011">
          <w:marLeft w:val="0"/>
          <w:marRight w:val="0"/>
          <w:marTop w:val="0"/>
          <w:marBottom w:val="0"/>
          <w:divBdr>
            <w:top w:val="none" w:sz="0" w:space="0" w:color="auto"/>
            <w:left w:val="none" w:sz="0" w:space="0" w:color="auto"/>
            <w:bottom w:val="none" w:sz="0" w:space="0" w:color="auto"/>
            <w:right w:val="none" w:sz="0" w:space="0" w:color="auto"/>
          </w:divBdr>
        </w:div>
        <w:div w:id="1675523688">
          <w:marLeft w:val="0"/>
          <w:marRight w:val="0"/>
          <w:marTop w:val="0"/>
          <w:marBottom w:val="0"/>
          <w:divBdr>
            <w:top w:val="none" w:sz="0" w:space="0" w:color="auto"/>
            <w:left w:val="none" w:sz="0" w:space="0" w:color="auto"/>
            <w:bottom w:val="none" w:sz="0" w:space="0" w:color="auto"/>
            <w:right w:val="none" w:sz="0" w:space="0" w:color="auto"/>
          </w:divBdr>
        </w:div>
        <w:div w:id="2030402785">
          <w:marLeft w:val="0"/>
          <w:marRight w:val="0"/>
          <w:marTop w:val="0"/>
          <w:marBottom w:val="0"/>
          <w:divBdr>
            <w:top w:val="none" w:sz="0" w:space="0" w:color="auto"/>
            <w:left w:val="none" w:sz="0" w:space="0" w:color="auto"/>
            <w:bottom w:val="none" w:sz="0" w:space="0" w:color="auto"/>
            <w:right w:val="none" w:sz="0" w:space="0" w:color="auto"/>
          </w:divBdr>
        </w:div>
        <w:div w:id="2092851150">
          <w:marLeft w:val="0"/>
          <w:marRight w:val="0"/>
          <w:marTop w:val="0"/>
          <w:marBottom w:val="0"/>
          <w:divBdr>
            <w:top w:val="none" w:sz="0" w:space="0" w:color="auto"/>
            <w:left w:val="none" w:sz="0" w:space="0" w:color="auto"/>
            <w:bottom w:val="none" w:sz="0" w:space="0" w:color="auto"/>
            <w:right w:val="none" w:sz="0" w:space="0" w:color="auto"/>
          </w:divBdr>
        </w:div>
        <w:div w:id="2101026240">
          <w:marLeft w:val="0"/>
          <w:marRight w:val="0"/>
          <w:marTop w:val="0"/>
          <w:marBottom w:val="0"/>
          <w:divBdr>
            <w:top w:val="none" w:sz="0" w:space="0" w:color="auto"/>
            <w:left w:val="none" w:sz="0" w:space="0" w:color="auto"/>
            <w:bottom w:val="none" w:sz="0" w:space="0" w:color="auto"/>
            <w:right w:val="none" w:sz="0" w:space="0" w:color="auto"/>
          </w:divBdr>
        </w:div>
        <w:div w:id="2119910484">
          <w:marLeft w:val="0"/>
          <w:marRight w:val="0"/>
          <w:marTop w:val="0"/>
          <w:marBottom w:val="0"/>
          <w:divBdr>
            <w:top w:val="none" w:sz="0" w:space="0" w:color="auto"/>
            <w:left w:val="none" w:sz="0" w:space="0" w:color="auto"/>
            <w:bottom w:val="none" w:sz="0" w:space="0" w:color="auto"/>
            <w:right w:val="none" w:sz="0" w:space="0" w:color="auto"/>
          </w:divBdr>
        </w:div>
      </w:divsChild>
    </w:div>
    <w:div w:id="544949025">
      <w:bodyDiv w:val="1"/>
      <w:marLeft w:val="0"/>
      <w:marRight w:val="0"/>
      <w:marTop w:val="0"/>
      <w:marBottom w:val="0"/>
      <w:divBdr>
        <w:top w:val="none" w:sz="0" w:space="0" w:color="auto"/>
        <w:left w:val="none" w:sz="0" w:space="0" w:color="auto"/>
        <w:bottom w:val="none" w:sz="0" w:space="0" w:color="auto"/>
        <w:right w:val="none" w:sz="0" w:space="0" w:color="auto"/>
      </w:divBdr>
    </w:div>
    <w:div w:id="565651529">
      <w:bodyDiv w:val="1"/>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
        <w:div w:id="330715816">
          <w:marLeft w:val="0"/>
          <w:marRight w:val="0"/>
          <w:marTop w:val="0"/>
          <w:marBottom w:val="0"/>
          <w:divBdr>
            <w:top w:val="none" w:sz="0" w:space="0" w:color="auto"/>
            <w:left w:val="none" w:sz="0" w:space="0" w:color="auto"/>
            <w:bottom w:val="none" w:sz="0" w:space="0" w:color="auto"/>
            <w:right w:val="none" w:sz="0" w:space="0" w:color="auto"/>
          </w:divBdr>
        </w:div>
        <w:div w:id="371927397">
          <w:marLeft w:val="0"/>
          <w:marRight w:val="0"/>
          <w:marTop w:val="0"/>
          <w:marBottom w:val="0"/>
          <w:divBdr>
            <w:top w:val="none" w:sz="0" w:space="0" w:color="auto"/>
            <w:left w:val="none" w:sz="0" w:space="0" w:color="auto"/>
            <w:bottom w:val="none" w:sz="0" w:space="0" w:color="auto"/>
            <w:right w:val="none" w:sz="0" w:space="0" w:color="auto"/>
          </w:divBdr>
        </w:div>
        <w:div w:id="501043070">
          <w:marLeft w:val="0"/>
          <w:marRight w:val="0"/>
          <w:marTop w:val="0"/>
          <w:marBottom w:val="0"/>
          <w:divBdr>
            <w:top w:val="none" w:sz="0" w:space="0" w:color="auto"/>
            <w:left w:val="none" w:sz="0" w:space="0" w:color="auto"/>
            <w:bottom w:val="none" w:sz="0" w:space="0" w:color="auto"/>
            <w:right w:val="none" w:sz="0" w:space="0" w:color="auto"/>
          </w:divBdr>
        </w:div>
        <w:div w:id="505097503">
          <w:marLeft w:val="0"/>
          <w:marRight w:val="0"/>
          <w:marTop w:val="0"/>
          <w:marBottom w:val="0"/>
          <w:divBdr>
            <w:top w:val="none" w:sz="0" w:space="0" w:color="auto"/>
            <w:left w:val="none" w:sz="0" w:space="0" w:color="auto"/>
            <w:bottom w:val="none" w:sz="0" w:space="0" w:color="auto"/>
            <w:right w:val="none" w:sz="0" w:space="0" w:color="auto"/>
          </w:divBdr>
        </w:div>
        <w:div w:id="561257006">
          <w:marLeft w:val="0"/>
          <w:marRight w:val="0"/>
          <w:marTop w:val="0"/>
          <w:marBottom w:val="0"/>
          <w:divBdr>
            <w:top w:val="none" w:sz="0" w:space="0" w:color="auto"/>
            <w:left w:val="none" w:sz="0" w:space="0" w:color="auto"/>
            <w:bottom w:val="none" w:sz="0" w:space="0" w:color="auto"/>
            <w:right w:val="none" w:sz="0" w:space="0" w:color="auto"/>
          </w:divBdr>
        </w:div>
        <w:div w:id="714701294">
          <w:marLeft w:val="0"/>
          <w:marRight w:val="0"/>
          <w:marTop w:val="0"/>
          <w:marBottom w:val="0"/>
          <w:divBdr>
            <w:top w:val="none" w:sz="0" w:space="0" w:color="auto"/>
            <w:left w:val="none" w:sz="0" w:space="0" w:color="auto"/>
            <w:bottom w:val="none" w:sz="0" w:space="0" w:color="auto"/>
            <w:right w:val="none" w:sz="0" w:space="0" w:color="auto"/>
          </w:divBdr>
        </w:div>
        <w:div w:id="1042561497">
          <w:marLeft w:val="0"/>
          <w:marRight w:val="0"/>
          <w:marTop w:val="0"/>
          <w:marBottom w:val="0"/>
          <w:divBdr>
            <w:top w:val="none" w:sz="0" w:space="0" w:color="auto"/>
            <w:left w:val="none" w:sz="0" w:space="0" w:color="auto"/>
            <w:bottom w:val="none" w:sz="0" w:space="0" w:color="auto"/>
            <w:right w:val="none" w:sz="0" w:space="0" w:color="auto"/>
          </w:divBdr>
        </w:div>
        <w:div w:id="1062026399">
          <w:marLeft w:val="0"/>
          <w:marRight w:val="0"/>
          <w:marTop w:val="0"/>
          <w:marBottom w:val="0"/>
          <w:divBdr>
            <w:top w:val="none" w:sz="0" w:space="0" w:color="auto"/>
            <w:left w:val="none" w:sz="0" w:space="0" w:color="auto"/>
            <w:bottom w:val="none" w:sz="0" w:space="0" w:color="auto"/>
            <w:right w:val="none" w:sz="0" w:space="0" w:color="auto"/>
          </w:divBdr>
        </w:div>
        <w:div w:id="1151678939">
          <w:marLeft w:val="0"/>
          <w:marRight w:val="0"/>
          <w:marTop w:val="0"/>
          <w:marBottom w:val="0"/>
          <w:divBdr>
            <w:top w:val="none" w:sz="0" w:space="0" w:color="auto"/>
            <w:left w:val="none" w:sz="0" w:space="0" w:color="auto"/>
            <w:bottom w:val="none" w:sz="0" w:space="0" w:color="auto"/>
            <w:right w:val="none" w:sz="0" w:space="0" w:color="auto"/>
          </w:divBdr>
        </w:div>
        <w:div w:id="1238321419">
          <w:marLeft w:val="0"/>
          <w:marRight w:val="0"/>
          <w:marTop w:val="0"/>
          <w:marBottom w:val="0"/>
          <w:divBdr>
            <w:top w:val="none" w:sz="0" w:space="0" w:color="auto"/>
            <w:left w:val="none" w:sz="0" w:space="0" w:color="auto"/>
            <w:bottom w:val="none" w:sz="0" w:space="0" w:color="auto"/>
            <w:right w:val="none" w:sz="0" w:space="0" w:color="auto"/>
          </w:divBdr>
        </w:div>
        <w:div w:id="1253971819">
          <w:marLeft w:val="0"/>
          <w:marRight w:val="0"/>
          <w:marTop w:val="0"/>
          <w:marBottom w:val="0"/>
          <w:divBdr>
            <w:top w:val="none" w:sz="0" w:space="0" w:color="auto"/>
            <w:left w:val="none" w:sz="0" w:space="0" w:color="auto"/>
            <w:bottom w:val="none" w:sz="0" w:space="0" w:color="auto"/>
            <w:right w:val="none" w:sz="0" w:space="0" w:color="auto"/>
          </w:divBdr>
        </w:div>
        <w:div w:id="1487622434">
          <w:marLeft w:val="0"/>
          <w:marRight w:val="0"/>
          <w:marTop w:val="0"/>
          <w:marBottom w:val="0"/>
          <w:divBdr>
            <w:top w:val="none" w:sz="0" w:space="0" w:color="auto"/>
            <w:left w:val="none" w:sz="0" w:space="0" w:color="auto"/>
            <w:bottom w:val="none" w:sz="0" w:space="0" w:color="auto"/>
            <w:right w:val="none" w:sz="0" w:space="0" w:color="auto"/>
          </w:divBdr>
        </w:div>
        <w:div w:id="1890456641">
          <w:marLeft w:val="0"/>
          <w:marRight w:val="0"/>
          <w:marTop w:val="0"/>
          <w:marBottom w:val="0"/>
          <w:divBdr>
            <w:top w:val="none" w:sz="0" w:space="0" w:color="auto"/>
            <w:left w:val="none" w:sz="0" w:space="0" w:color="auto"/>
            <w:bottom w:val="none" w:sz="0" w:space="0" w:color="auto"/>
            <w:right w:val="none" w:sz="0" w:space="0" w:color="auto"/>
          </w:divBdr>
        </w:div>
      </w:divsChild>
    </w:div>
    <w:div w:id="807940383">
      <w:bodyDiv w:val="1"/>
      <w:marLeft w:val="0"/>
      <w:marRight w:val="0"/>
      <w:marTop w:val="0"/>
      <w:marBottom w:val="0"/>
      <w:divBdr>
        <w:top w:val="none" w:sz="0" w:space="0" w:color="auto"/>
        <w:left w:val="none" w:sz="0" w:space="0" w:color="auto"/>
        <w:bottom w:val="none" w:sz="0" w:space="0" w:color="auto"/>
        <w:right w:val="none" w:sz="0" w:space="0" w:color="auto"/>
      </w:divBdr>
    </w:div>
    <w:div w:id="11976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people-communities/thriving-communities-strategy" TargetMode="External"/><Relationship Id="rId18" Type="http://schemas.openxmlformats.org/officeDocument/2006/relationships/hyperlink" Target="https://oxfordcitycouncil.sharepoint.com/:w:/s/PolicyandPartnerships251/EbOIOI5yMIVDirX9g3TTpOYBn7vHFChWCqLQjAyGu8yY-A?e=bunkB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ocal.gov.uk/our-support/communications-and-community-engagement/resident-communications/understanding-views-2" TargetMode="External"/><Relationship Id="rId7" Type="http://schemas.openxmlformats.org/officeDocument/2006/relationships/settings" Target="settings.xml"/><Relationship Id="rId12" Type="http://schemas.openxmlformats.org/officeDocument/2006/relationships/hyperlink" Target="https://mycouncil.oxford.gov.uk/ieListMeetings.aspx?CommitteeId=477&amp;info=1&amp;MD=Constitution" TargetMode="External"/><Relationship Id="rId17" Type="http://schemas.openxmlformats.org/officeDocument/2006/relationships/hyperlink" Target="https://oxfordcitycouncil.sharepoint.com/:w:/s/PolicyandPartnerships251/EfYXLc4VvFhChVYUI_RqvEsBcF1qqkDUwmwgYMM8_-Rvug?e=buk56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xfordcitycouncil.sharepoint.com/sites/IntranetDocumentStore/Communications/Forms/AllItems.aspx?id=%2Fsites%2FIntranetDocumentStore%2FCommunications%2FConsultation%2FConsultation%20Toolkit%2Epdf&amp;parent=%2Fsites%2FIntranetDocumentStore%2FCommunications%2FConsultation&amp;p=true&amp;ga=1&amp;LOF=1" TargetMode="External"/><Relationship Id="rId20" Type="http://schemas.openxmlformats.org/officeDocument/2006/relationships/hyperlink" Target="https://www.oxford.gov.uk/statistics-oxfor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gov.uk/policies-plans-strategies/strategy" TargetMode="External"/><Relationship Id="rId24" Type="http://schemas.openxmlformats.org/officeDocument/2006/relationships/hyperlink" Target="https://www.legislation.gov.uk/ukpga/2023/36" TargetMode="External"/><Relationship Id="rId5" Type="http://schemas.openxmlformats.org/officeDocument/2006/relationships/numbering" Target="numbering.xml"/><Relationship Id="rId15" Type="http://schemas.openxmlformats.org/officeDocument/2006/relationships/hyperlink" Target="https://www.oxford.gov.uk/equality-diversity-inclusion/oxford-equality-diversity-inclusion-edi-strategy" TargetMode="External"/><Relationship Id="rId23" Type="http://schemas.openxmlformats.org/officeDocument/2006/relationships/hyperlink" Target="https://www.gov.uk/government/consultations/consultation-on-the-consumer-standards/annex-3-consumer-standard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ogle.com/url?sa=t&amp;rct=j&amp;q=&amp;esrc=s&amp;source=web&amp;cd=&amp;ved=2ahUKEwjj7YLAgoCNAxWSRPEDHaELMvcQFnoECBwQAQ&amp;url=https%3A%2F%2Fwww.oxford.gov.uk%2Fdownloads%2Ffile%2F1389%2Fstatement-of-community-involvement-in-planning&amp;usg=AOvVaw3ii21v4UFHYjIlgFm0fP-z&amp;opi=89978449"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amp;ved=2ahUKEwjigdGAgoCNAxW-W0EAHZBeC2YQFnoECBgQAQ&amp;url=https%3A%2F%2Fmycouncil.oxford.gov.uk%2Fdocuments%2Fs73993%2FAppendix%25201%2520-%2520Citizen%2520Experience%2520Strategy.pdf&amp;usg=AOvVaw3R8Ml5IfB2_a1asWDmcF6H&amp;opi=89978449" TargetMode="External"/><Relationship Id="rId22" Type="http://schemas.openxmlformats.org/officeDocument/2006/relationships/hyperlink" Target="https://www.local.gov.uk/sites/default/files/documents/The%20Gunning%20Principles.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onsultation-principles-guidance" TargetMode="External"/></Relationships>
</file>

<file path=word/documenttasks/documenttasks1.xml><?xml version="1.0" encoding="utf-8"?>
<t:Tasks xmlns:t="http://schemas.microsoft.com/office/tasks/2019/documenttasks" xmlns:oel="http://schemas.microsoft.com/office/2019/extlst">
  <t:Task id="{3A959106-66B0-4458-8CF4-777DD96CC994}">
    <t:Anchor>
      <t:Comment id="1902206245"/>
    </t:Anchor>
    <t:History>
      <t:Event id="{D90D9259-6CC2-4C2C-A2EE-80A287BED047}" time="2025-03-20T09:55:27.236Z">
        <t:Attribution userId="S::jmiao@oxford.gov.uk::23128ee1-ab7f-4586-967d-540513a532d5" userProvider="AD" userName="MIAO Jiajia"/>
        <t:Anchor>
          <t:Comment id="1429131513"/>
        </t:Anchor>
        <t:Create/>
      </t:Event>
      <t:Event id="{D3AFD5A9-D937-4322-91C5-50633B6BC07E}" time="2025-03-20T09:55:27.236Z">
        <t:Attribution userId="S::jmiao@oxford.gov.uk::23128ee1-ab7f-4586-967d-540513a532d5" userProvider="AD" userName="MIAO Jiajia"/>
        <t:Anchor>
          <t:Comment id="1429131513"/>
        </t:Anchor>
        <t:Assign userId="S::hbishop@oxford.gov.uk::a9ac31ec-12e4-40cd-8c45-2f172b39a8c2" userProvider="AD" userName="BISHOP Helen"/>
      </t:Event>
      <t:Event id="{12D486E4-FE64-4D5E-9327-FF5CC4D64B58}" time="2025-03-20T09:55:27.236Z">
        <t:Attribution userId="S::jmiao@oxford.gov.uk::23128ee1-ab7f-4586-967d-540513a532d5" userProvider="AD" userName="MIAO Jiajia"/>
        <t:Anchor>
          <t:Comment id="1429131513"/>
        </t:Anchor>
        <t:SetTitle title="@BISHOP Helen , thanks for pointing this out. I understand your point that the CEX Strategy primarily outlines how we support citizens in accessing our services, which isn't directly a method of engagement. However, I believe there’s still merit in …"/>
      </t:Event>
    </t:History>
  </t:Task>
  <t:Task id="{4B3FAA97-EFCB-4748-B894-C263A929BD4C}">
    <t:Anchor>
      <t:Comment id="985942606"/>
    </t:Anchor>
    <t:History>
      <t:Event id="{AEA2BFBC-EC1B-46B7-BC35-D3CDA1217A24}" time="2025-03-20T09:55:27.236Z">
        <t:Attribution userId="S::jmiao@oxford.gov.uk::23128ee1-ab7f-4586-967d-540513a532d5" userProvider="AD" userName="MIAO Jiajia"/>
        <t:Anchor>
          <t:Comment id="1215989064"/>
        </t:Anchor>
        <t:Create/>
      </t:Event>
      <t:Event id="{D2FD758C-BC74-4420-806F-35E8756ED14C}" time="2025-03-20T09:55:27.236Z">
        <t:Attribution userId="S::jmiao@oxford.gov.uk::23128ee1-ab7f-4586-967d-540513a532d5" userProvider="AD" userName="MIAO Jiajia"/>
        <t:Anchor>
          <t:Comment id="1215989064"/>
        </t:Anchor>
        <t:Assign userId="S::hbishop@oxford.gov.uk::a9ac31ec-12e4-40cd-8c45-2f172b39a8c2" userProvider="AD" userName="BISHOP Helen"/>
      </t:Event>
      <t:Event id="{1D928FDF-A673-4763-A0E6-AFD16EC781E5}" time="2025-03-20T09:55:27.236Z">
        <t:Attribution userId="S::jmiao@oxford.gov.uk::23128ee1-ab7f-4586-967d-540513a532d5" userProvider="AD" userName="MIAO Jiajia"/>
        <t:Anchor>
          <t:Comment id="1215989064"/>
        </t:Anchor>
        <t:SetTitle title="@BISHOP Helen , thanks for pointing this out. I understand your point that the CEX Strategy primarily outlines how we support citizens in accessing our services, which isn't directly a method of engagement. However, I believe there’s still merit in …"/>
      </t:Event>
    </t:History>
  </t:Task>
  <t:Task id="{F93E40DC-2126-4505-AB1B-0C8A533ED637}">
    <t:Anchor>
      <t:Comment id="1223378776"/>
    </t:Anchor>
    <t:History>
      <t:Event id="{0042E41A-D749-42AF-9A69-4D890BEA92ED}" time="2025-05-07T13:59:12.027Z">
        <t:Attribution userId="S::jmiao@oxford.gov.uk::23128ee1-ab7f-4586-967d-540513a532d5" userProvider="AD" userName="MIAO Jiajia"/>
        <t:Anchor>
          <t:Comment id="859125358"/>
        </t:Anchor>
        <t:Create/>
      </t:Event>
      <t:Event id="{659B3F5E-DC97-4EFC-8212-45D33CFA9640}" time="2025-05-07T13:59:12.027Z">
        <t:Attribution userId="S::jmiao@oxford.gov.uk::23128ee1-ab7f-4586-967d-540513a532d5" userProvider="AD" userName="MIAO Jiajia"/>
        <t:Anchor>
          <t:Comment id="859125358"/>
        </t:Anchor>
        <t:Assign userId="S::shicks@oxford.gov.uk::788205e8-c66a-4b84-8920-bdf639e07f94" userProvider="AD" userName="HICKS Sally"/>
      </t:Event>
      <t:Event id="{5165E369-A5EA-4FE0-8D82-C49E274F9EA9}" time="2025-05-07T13:59:12.027Z">
        <t:Attribution userId="S::jmiao@oxford.gov.uk::23128ee1-ab7f-4586-967d-540513a532d5" userProvider="AD" userName="MIAO Jiajia"/>
        <t:Anchor>
          <t:Comment id="859125358"/>
        </t:Anchor>
        <t:SetTitle title="@HICKS Sally - Hi Sally, have we heard anything from the locality managers yet? If not, shall we consider removing this comment? I think the non-digital channels (e.g. local media, locality learning sessions etc.) could really help us reach older …"/>
      </t:Event>
    </t:History>
  </t:Task>
  <t:Task id="{194BB285-ED89-4887-9F99-F44130132ACD}">
    <t:Anchor>
      <t:Comment id="957609533"/>
    </t:Anchor>
    <t:History>
      <t:Event id="{6226465F-B2B2-43FC-992B-EE6AA4DD15EB}" time="2025-07-31T09:33:02.54Z">
        <t:Attribution userId="S::lnichol@oxford.gov.uk::9642cfa7-4a59-4f0e-9d04-55fc8632b255" userProvider="AD" userName="NICHOL Lucy"/>
        <t:Anchor>
          <t:Comment id="1998310153"/>
        </t:Anchor>
        <t:Create/>
      </t:Event>
      <t:Event id="{4E1D476C-AB43-46A2-9142-2FCC8DAC774F}" time="2025-07-31T09:33:02.54Z">
        <t:Attribution userId="S::lnichol@oxford.gov.uk::9642cfa7-4a59-4f0e-9d04-55fc8632b255" userProvider="AD" userName="NICHOL Lucy"/>
        <t:Anchor>
          <t:Comment id="1998310153"/>
        </t:Anchor>
        <t:Assign userId="S::jmiao@oxford.gov.uk::23128ee1-ab7f-4586-967d-540513a532d5" userProvider="AD" userName="MIAO Jiajia"/>
      </t:Event>
      <t:Event id="{FF74D319-F9E6-475E-9155-2E3E41F857EA}" time="2025-07-31T09:33:02.54Z">
        <t:Attribution userId="S::lnichol@oxford.gov.uk::9642cfa7-4a59-4f0e-9d04-55fc8632b255" userProvider="AD" userName="NICHOL Lucy"/>
        <t:Anchor>
          <t:Comment id="1998310153"/>
        </t:Anchor>
        <t:SetTitle title="@MIAO Jiajia I have added a few bits to this paragraph.. I hope it is not too late?"/>
      </t:Event>
      <t:Event id="{7ECFBFDD-45D4-432F-B70B-D6DAE68F92D1}" time="2025-08-05T08:20:14.685Z">
        <t:Attribution userId="S::jmiao@oxford.gov.uk::23128ee1-ab7f-4586-967d-540513a532d5" userProvider="AD" userName="MIAO Jiaj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E15D7-1106-41CC-9099-939427096EBC}">
  <ds:schemaRefs>
    <ds:schemaRef ds:uri="http://schemas.microsoft.com/office/2006/metadata/properties"/>
    <ds:schemaRef ds:uri="http://schemas.microsoft.com/office/infopath/2007/PartnerControls"/>
    <ds:schemaRef ds:uri="c4c65a70-782b-4903-8544-451ceffb39ef"/>
    <ds:schemaRef ds:uri="f3559f86-1df3-4ec0-9117-92b921db40bb"/>
  </ds:schemaRefs>
</ds:datastoreItem>
</file>

<file path=customXml/itemProps2.xml><?xml version="1.0" encoding="utf-8"?>
<ds:datastoreItem xmlns:ds="http://schemas.openxmlformats.org/officeDocument/2006/customXml" ds:itemID="{7D69948E-E062-4261-849B-C1C4925AD2BB}">
  <ds:schemaRefs>
    <ds:schemaRef ds:uri="http://schemas.openxmlformats.org/officeDocument/2006/bibliography"/>
  </ds:schemaRefs>
</ds:datastoreItem>
</file>

<file path=customXml/itemProps3.xml><?xml version="1.0" encoding="utf-8"?>
<ds:datastoreItem xmlns:ds="http://schemas.openxmlformats.org/officeDocument/2006/customXml" ds:itemID="{B885A66F-A583-4D78-A980-57618C885F26}"/>
</file>

<file path=customXml/itemProps4.xml><?xml version="1.0" encoding="utf-8"?>
<ds:datastoreItem xmlns:ds="http://schemas.openxmlformats.org/officeDocument/2006/customXml" ds:itemID="{512E30C4-1DF9-4C26-83E0-A6F6BF682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5001</Words>
  <Characters>28506</Characters>
  <Application>Microsoft Office Word</Application>
  <DocSecurity>0</DocSecurity>
  <Lines>237</Lines>
  <Paragraphs>66</Paragraphs>
  <ScaleCrop>false</ScaleCrop>
  <Company>Oxford City Council</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Alice</dc:creator>
  <cp:keywords/>
  <dc:description/>
  <cp:lastModifiedBy>BISHOP Helen</cp:lastModifiedBy>
  <cp:revision>2</cp:revision>
  <cp:lastPrinted>2025-05-29T20:15:00Z</cp:lastPrinted>
  <dcterms:created xsi:type="dcterms:W3CDTF">2025-08-21T11:20:00Z</dcterms:created>
  <dcterms:modified xsi:type="dcterms:W3CDTF">2025-08-21T11:20:00Z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0x010100B5288C9F99542148A16292699E9EF8DD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c2468f22-2ec5-4010-97b6-cc4abca97952</vt:lpwstr>
  </property>
</Properties>
</file>